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40BAF" w14:textId="2E0BAC2F" w:rsidR="001A6F11" w:rsidRPr="001A6F11" w:rsidRDefault="00EE4B57" w:rsidP="001A6F11">
      <w:pPr>
        <w:pStyle w:val="Caption"/>
        <w:rPr>
          <w:rFonts w:cstheme="minorHAnsi"/>
          <w:b/>
          <w:bCs/>
          <w:i w:val="0"/>
          <w:iCs w:val="0"/>
          <w:color w:val="auto"/>
          <w:sz w:val="20"/>
          <w:szCs w:val="20"/>
          <w:lang w:eastAsia="en-GB"/>
        </w:rPr>
      </w:pPr>
      <w:bookmarkStart w:id="0" w:name="_Toc133309862"/>
      <w:bookmarkStart w:id="1" w:name="_GoBack"/>
      <w:bookmarkEnd w:id="1"/>
      <w:r>
        <w:rPr>
          <w:rFonts w:cstheme="minorHAnsi"/>
          <w:b/>
          <w:bCs/>
          <w:i w:val="0"/>
          <w:iCs w:val="0"/>
          <w:color w:val="auto"/>
          <w:sz w:val="20"/>
          <w:szCs w:val="20"/>
        </w:rPr>
        <w:t>Stage 1 Qualitative t</w:t>
      </w:r>
      <w:r w:rsidR="001A6F11" w:rsidRPr="001A6F11">
        <w:rPr>
          <w:rFonts w:cstheme="minorHAnsi"/>
          <w:b/>
          <w:bCs/>
          <w:i w:val="0"/>
          <w:iCs w:val="0"/>
          <w:color w:val="auto"/>
          <w:sz w:val="20"/>
          <w:szCs w:val="20"/>
        </w:rPr>
        <w:t xml:space="preserve">hemes </w:t>
      </w:r>
      <w:bookmarkEnd w:id="0"/>
    </w:p>
    <w:tbl>
      <w:tblPr>
        <w:tblStyle w:val="TableGrid"/>
        <w:tblpPr w:leftFromText="180" w:rightFromText="180" w:vertAnchor="text" w:tblpY="1"/>
        <w:tblOverlap w:val="neve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425"/>
        <w:gridCol w:w="2410"/>
        <w:gridCol w:w="10773"/>
      </w:tblGrid>
      <w:tr w:rsidR="001A6F11" w:rsidRPr="00DB1581" w14:paraId="24C7C9F7" w14:textId="77777777" w:rsidTr="00712291">
        <w:trPr>
          <w:tblHeader/>
        </w:trPr>
        <w:tc>
          <w:tcPr>
            <w:tcW w:w="421" w:type="dxa"/>
            <w:shd w:val="clear" w:color="auto" w:fill="FFFFFF" w:themeFill="background1"/>
          </w:tcPr>
          <w:p w14:paraId="52F1242C"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b/>
                <w:bCs/>
                <w:sz w:val="20"/>
                <w:szCs w:val="20"/>
                <w:lang w:val="en-GB"/>
              </w:rPr>
              <w:t>#</w:t>
            </w:r>
          </w:p>
        </w:tc>
        <w:tc>
          <w:tcPr>
            <w:tcW w:w="425" w:type="dxa"/>
            <w:shd w:val="clear" w:color="auto" w:fill="FFFFFF" w:themeFill="background1"/>
          </w:tcPr>
          <w:p w14:paraId="08057F88" w14:textId="77777777" w:rsidR="001A6F11" w:rsidRPr="00DB1581" w:rsidRDefault="001A6F11" w:rsidP="008F1B0E">
            <w:pPr>
              <w:widowControl/>
              <w:rPr>
                <w:rFonts w:cstheme="minorHAnsi"/>
                <w:b/>
                <w:bCs/>
                <w:i/>
                <w:iCs/>
                <w:sz w:val="20"/>
                <w:szCs w:val="20"/>
                <w:u w:val="single"/>
                <w:lang w:val="en-GB" w:eastAsia="en-GB"/>
              </w:rPr>
            </w:pPr>
          </w:p>
        </w:tc>
        <w:tc>
          <w:tcPr>
            <w:tcW w:w="2410" w:type="dxa"/>
            <w:shd w:val="clear" w:color="auto" w:fill="FFFFFF" w:themeFill="background1"/>
          </w:tcPr>
          <w:p w14:paraId="55FA4C30"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b/>
                <w:bCs/>
                <w:sz w:val="20"/>
                <w:szCs w:val="20"/>
                <w:lang w:val="en-GB"/>
              </w:rPr>
              <w:t>Theme</w:t>
            </w:r>
          </w:p>
        </w:tc>
        <w:tc>
          <w:tcPr>
            <w:tcW w:w="10773" w:type="dxa"/>
            <w:shd w:val="clear" w:color="auto" w:fill="FFFFFF" w:themeFill="background1"/>
          </w:tcPr>
          <w:p w14:paraId="7E49A7B9"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b/>
                <w:bCs/>
                <w:sz w:val="20"/>
                <w:szCs w:val="20"/>
                <w:lang w:val="en-GB"/>
              </w:rPr>
              <w:t>Description</w:t>
            </w:r>
          </w:p>
        </w:tc>
      </w:tr>
      <w:tr w:rsidR="001A6F11" w:rsidRPr="00DB1581" w14:paraId="55EA06EF" w14:textId="77777777" w:rsidTr="001A6F11">
        <w:tc>
          <w:tcPr>
            <w:tcW w:w="14029" w:type="dxa"/>
            <w:gridSpan w:val="4"/>
          </w:tcPr>
          <w:p w14:paraId="692F4800" w14:textId="527D6E1D" w:rsidR="001A6F11" w:rsidRPr="001A6F11" w:rsidRDefault="001A6F11" w:rsidP="008F1B0E">
            <w:pPr>
              <w:widowControl/>
              <w:rPr>
                <w:rFonts w:cstheme="minorHAnsi"/>
                <w:b/>
                <w:bCs/>
                <w:sz w:val="20"/>
                <w:szCs w:val="20"/>
              </w:rPr>
            </w:pPr>
            <w:r w:rsidRPr="001A6F11">
              <w:rPr>
                <w:rFonts w:cstheme="minorHAnsi"/>
                <w:b/>
                <w:bCs/>
                <w:sz w:val="20"/>
                <w:szCs w:val="20"/>
              </w:rPr>
              <w:t>Physical aspects</w:t>
            </w:r>
          </w:p>
        </w:tc>
      </w:tr>
      <w:tr w:rsidR="001A6F11" w:rsidRPr="00DB1581" w14:paraId="525D42DD" w14:textId="77777777" w:rsidTr="00712291">
        <w:tc>
          <w:tcPr>
            <w:tcW w:w="421" w:type="dxa"/>
          </w:tcPr>
          <w:p w14:paraId="1F9BD935"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1</w:t>
            </w:r>
          </w:p>
        </w:tc>
        <w:tc>
          <w:tcPr>
            <w:tcW w:w="425" w:type="dxa"/>
          </w:tcPr>
          <w:p w14:paraId="38E87CE1" w14:textId="77777777" w:rsidR="001A6F11" w:rsidRPr="00DB1581" w:rsidRDefault="001A6F11" w:rsidP="008F1B0E">
            <w:pPr>
              <w:widowControl/>
              <w:rPr>
                <w:rFonts w:cstheme="minorHAnsi"/>
                <w:b/>
                <w:bCs/>
                <w:i/>
                <w:iCs/>
                <w:sz w:val="20"/>
                <w:szCs w:val="20"/>
                <w:u w:val="single"/>
                <w:lang w:val="en-GB" w:eastAsia="en-GB"/>
              </w:rPr>
            </w:pPr>
          </w:p>
        </w:tc>
        <w:tc>
          <w:tcPr>
            <w:tcW w:w="2410" w:type="dxa"/>
          </w:tcPr>
          <w:p w14:paraId="4A0B872C"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Activities of daily living</w:t>
            </w:r>
          </w:p>
        </w:tc>
        <w:tc>
          <w:tcPr>
            <w:tcW w:w="10773" w:type="dxa"/>
          </w:tcPr>
          <w:p w14:paraId="374D8F1B"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This theme has five subthemes covering activities of daily living.</w:t>
            </w:r>
          </w:p>
        </w:tc>
      </w:tr>
      <w:tr w:rsidR="001A6F11" w:rsidRPr="00DB1581" w14:paraId="41FE53CB" w14:textId="77777777" w:rsidTr="00712291">
        <w:tc>
          <w:tcPr>
            <w:tcW w:w="421" w:type="dxa"/>
          </w:tcPr>
          <w:p w14:paraId="5EDAF532" w14:textId="77777777" w:rsidR="001A6F11" w:rsidRPr="00DB1581" w:rsidRDefault="001A6F11" w:rsidP="008F1B0E">
            <w:pPr>
              <w:widowControl/>
              <w:rPr>
                <w:rFonts w:cstheme="minorHAnsi"/>
                <w:b/>
                <w:bCs/>
                <w:i/>
                <w:iCs/>
                <w:sz w:val="20"/>
                <w:szCs w:val="20"/>
                <w:u w:val="single"/>
                <w:lang w:val="en-GB" w:eastAsia="en-GB"/>
              </w:rPr>
            </w:pPr>
          </w:p>
        </w:tc>
        <w:tc>
          <w:tcPr>
            <w:tcW w:w="425" w:type="dxa"/>
          </w:tcPr>
          <w:p w14:paraId="10FD61FF"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a</w:t>
            </w:r>
          </w:p>
        </w:tc>
        <w:tc>
          <w:tcPr>
            <w:tcW w:w="2410" w:type="dxa"/>
          </w:tcPr>
          <w:p w14:paraId="63A53D84"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General activities</w:t>
            </w:r>
          </w:p>
        </w:tc>
        <w:tc>
          <w:tcPr>
            <w:tcW w:w="10773" w:type="dxa"/>
          </w:tcPr>
          <w:p w14:paraId="5535CE8A"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Other activities of daily life, not specifically mentioned. Activities classed as 'normal' or 'usual' by participants. Includes activities that have been adapted. Also includes general commitments/activities not otherwise specified.</w:t>
            </w:r>
          </w:p>
        </w:tc>
      </w:tr>
      <w:tr w:rsidR="001A6F11" w:rsidRPr="00DB1581" w14:paraId="3FB277FC" w14:textId="77777777" w:rsidTr="00712291">
        <w:tc>
          <w:tcPr>
            <w:tcW w:w="421" w:type="dxa"/>
          </w:tcPr>
          <w:p w14:paraId="54E173B4" w14:textId="77777777" w:rsidR="001A6F11" w:rsidRPr="00DB1581" w:rsidRDefault="001A6F11" w:rsidP="008F1B0E">
            <w:pPr>
              <w:widowControl/>
              <w:rPr>
                <w:rFonts w:cstheme="minorHAnsi"/>
                <w:b/>
                <w:bCs/>
                <w:i/>
                <w:iCs/>
                <w:sz w:val="20"/>
                <w:szCs w:val="20"/>
                <w:u w:val="single"/>
                <w:lang w:val="en-GB" w:eastAsia="en-GB"/>
              </w:rPr>
            </w:pPr>
          </w:p>
        </w:tc>
        <w:tc>
          <w:tcPr>
            <w:tcW w:w="425" w:type="dxa"/>
          </w:tcPr>
          <w:p w14:paraId="68209BE0"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b</w:t>
            </w:r>
          </w:p>
        </w:tc>
        <w:tc>
          <w:tcPr>
            <w:tcW w:w="2410" w:type="dxa"/>
          </w:tcPr>
          <w:p w14:paraId="4608D843"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Driving</w:t>
            </w:r>
          </w:p>
        </w:tc>
        <w:tc>
          <w:tcPr>
            <w:tcW w:w="10773" w:type="dxa"/>
          </w:tcPr>
          <w:p w14:paraId="5C5D4DCB"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 xml:space="preserve">Covering impacts of hypoglycaemia on driving and the ability to drive should the person want </w:t>
            </w:r>
            <w:proofErr w:type="gramStart"/>
            <w:r w:rsidRPr="00DB1581">
              <w:rPr>
                <w:rFonts w:cstheme="minorHAnsi"/>
                <w:sz w:val="20"/>
                <w:szCs w:val="20"/>
                <w:lang w:val="en-GB"/>
              </w:rPr>
              <w:t>to.</w:t>
            </w:r>
            <w:proofErr w:type="gramEnd"/>
          </w:p>
        </w:tc>
      </w:tr>
      <w:tr w:rsidR="001A6F11" w:rsidRPr="00DB1581" w14:paraId="15BC7A75" w14:textId="77777777" w:rsidTr="00712291">
        <w:tc>
          <w:tcPr>
            <w:tcW w:w="421" w:type="dxa"/>
          </w:tcPr>
          <w:p w14:paraId="3CB1D192" w14:textId="77777777" w:rsidR="001A6F11" w:rsidRPr="00DB1581" w:rsidRDefault="001A6F11" w:rsidP="008F1B0E">
            <w:pPr>
              <w:widowControl/>
              <w:rPr>
                <w:rFonts w:cstheme="minorHAnsi"/>
                <w:b/>
                <w:bCs/>
                <w:i/>
                <w:iCs/>
                <w:sz w:val="20"/>
                <w:szCs w:val="20"/>
                <w:u w:val="single"/>
                <w:lang w:val="en-GB" w:eastAsia="en-GB"/>
              </w:rPr>
            </w:pPr>
          </w:p>
        </w:tc>
        <w:tc>
          <w:tcPr>
            <w:tcW w:w="425" w:type="dxa"/>
          </w:tcPr>
          <w:p w14:paraId="0CC1A269"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c</w:t>
            </w:r>
          </w:p>
        </w:tc>
        <w:tc>
          <w:tcPr>
            <w:tcW w:w="2410" w:type="dxa"/>
          </w:tcPr>
          <w:p w14:paraId="7B805DD9"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Eating and drinking</w:t>
            </w:r>
          </w:p>
        </w:tc>
        <w:tc>
          <w:tcPr>
            <w:tcW w:w="10773" w:type="dxa"/>
          </w:tcPr>
          <w:p w14:paraId="069D4785"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Captures the relationship between eating/drinking and hypoglycaemia, including eating/drinking outside of the home. Includes eating in response to a hypo, (e.g., when not wanting to or eating in excess in response to a hypo).</w:t>
            </w:r>
          </w:p>
        </w:tc>
      </w:tr>
      <w:tr w:rsidR="001A6F11" w:rsidRPr="00DB1581" w14:paraId="415F57AD" w14:textId="77777777" w:rsidTr="00712291">
        <w:tc>
          <w:tcPr>
            <w:tcW w:w="421" w:type="dxa"/>
          </w:tcPr>
          <w:p w14:paraId="7AB28822" w14:textId="77777777" w:rsidR="001A6F11" w:rsidRPr="00DB1581" w:rsidRDefault="001A6F11" w:rsidP="008F1B0E">
            <w:pPr>
              <w:widowControl/>
              <w:rPr>
                <w:rFonts w:cstheme="minorHAnsi"/>
                <w:b/>
                <w:bCs/>
                <w:i/>
                <w:iCs/>
                <w:sz w:val="20"/>
                <w:szCs w:val="20"/>
                <w:u w:val="single"/>
                <w:lang w:val="en-GB" w:eastAsia="en-GB"/>
              </w:rPr>
            </w:pPr>
          </w:p>
        </w:tc>
        <w:tc>
          <w:tcPr>
            <w:tcW w:w="425" w:type="dxa"/>
          </w:tcPr>
          <w:p w14:paraId="2E1D71F2"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d</w:t>
            </w:r>
          </w:p>
        </w:tc>
        <w:tc>
          <w:tcPr>
            <w:tcW w:w="2410" w:type="dxa"/>
          </w:tcPr>
          <w:p w14:paraId="3AA9127A"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Leisure and exercise</w:t>
            </w:r>
          </w:p>
        </w:tc>
        <w:tc>
          <w:tcPr>
            <w:tcW w:w="10773" w:type="dxa"/>
          </w:tcPr>
          <w:p w14:paraId="0336A9B1"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Covers the relationship between hypoglycaemia and leisure activities or exercise, including restricting activity and the impact of these activities on blood sugar.</w:t>
            </w:r>
          </w:p>
        </w:tc>
      </w:tr>
      <w:tr w:rsidR="001A6F11" w:rsidRPr="00DB1581" w14:paraId="530A3B97" w14:textId="77777777" w:rsidTr="00712291">
        <w:tc>
          <w:tcPr>
            <w:tcW w:w="421" w:type="dxa"/>
          </w:tcPr>
          <w:p w14:paraId="01B360B7" w14:textId="77777777" w:rsidR="001A6F11" w:rsidRPr="00DB1581" w:rsidRDefault="001A6F11" w:rsidP="008F1B0E">
            <w:pPr>
              <w:widowControl/>
              <w:rPr>
                <w:rFonts w:cstheme="minorHAnsi"/>
                <w:b/>
                <w:bCs/>
                <w:i/>
                <w:iCs/>
                <w:sz w:val="20"/>
                <w:szCs w:val="20"/>
                <w:u w:val="single"/>
                <w:lang w:val="en-GB" w:eastAsia="en-GB"/>
              </w:rPr>
            </w:pPr>
          </w:p>
        </w:tc>
        <w:tc>
          <w:tcPr>
            <w:tcW w:w="425" w:type="dxa"/>
          </w:tcPr>
          <w:p w14:paraId="5992104A"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e</w:t>
            </w:r>
          </w:p>
        </w:tc>
        <w:tc>
          <w:tcPr>
            <w:tcW w:w="2410" w:type="dxa"/>
          </w:tcPr>
          <w:p w14:paraId="5387CF7C"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Paid and unpaid work</w:t>
            </w:r>
          </w:p>
        </w:tc>
        <w:tc>
          <w:tcPr>
            <w:tcW w:w="10773" w:type="dxa"/>
          </w:tcPr>
          <w:p w14:paraId="1C2FA868"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This theme covers the relationship between hypoglycaemia and paid or unpaid work. This includes study / training.</w:t>
            </w:r>
          </w:p>
        </w:tc>
      </w:tr>
      <w:tr w:rsidR="001A6F11" w:rsidRPr="00DB1581" w14:paraId="651434AC" w14:textId="77777777" w:rsidTr="00712291">
        <w:tc>
          <w:tcPr>
            <w:tcW w:w="421" w:type="dxa"/>
          </w:tcPr>
          <w:p w14:paraId="4A9CFEAD"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2</w:t>
            </w:r>
          </w:p>
        </w:tc>
        <w:tc>
          <w:tcPr>
            <w:tcW w:w="425" w:type="dxa"/>
          </w:tcPr>
          <w:p w14:paraId="03E2FF21" w14:textId="77777777" w:rsidR="001A6F11" w:rsidRPr="00DB1581" w:rsidRDefault="001A6F11" w:rsidP="008F1B0E">
            <w:pPr>
              <w:widowControl/>
              <w:rPr>
                <w:rFonts w:cstheme="minorHAnsi"/>
                <w:b/>
                <w:bCs/>
                <w:i/>
                <w:iCs/>
                <w:sz w:val="20"/>
                <w:szCs w:val="20"/>
                <w:u w:val="single"/>
                <w:lang w:val="en-GB" w:eastAsia="en-GB"/>
              </w:rPr>
            </w:pPr>
          </w:p>
        </w:tc>
        <w:tc>
          <w:tcPr>
            <w:tcW w:w="2410" w:type="dxa"/>
          </w:tcPr>
          <w:p w14:paraId="36624505"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Energy, fatigue, and tiredness</w:t>
            </w:r>
          </w:p>
        </w:tc>
        <w:tc>
          <w:tcPr>
            <w:tcW w:w="10773" w:type="dxa"/>
          </w:tcPr>
          <w:p w14:paraId="72FE94D9"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Covering the relationship between hypoglycaemia and acute or lasting instances of reduced energy, physical fatigue and/or tiredness. Also includes motivation.</w:t>
            </w:r>
          </w:p>
        </w:tc>
      </w:tr>
      <w:tr w:rsidR="001A6F11" w:rsidRPr="00DB1581" w14:paraId="16156138" w14:textId="77777777" w:rsidTr="00712291">
        <w:tc>
          <w:tcPr>
            <w:tcW w:w="421" w:type="dxa"/>
          </w:tcPr>
          <w:p w14:paraId="533585BF"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3</w:t>
            </w:r>
          </w:p>
        </w:tc>
        <w:tc>
          <w:tcPr>
            <w:tcW w:w="425" w:type="dxa"/>
          </w:tcPr>
          <w:p w14:paraId="4758D35E" w14:textId="77777777" w:rsidR="001A6F11" w:rsidRPr="00DB1581" w:rsidRDefault="001A6F11" w:rsidP="008F1B0E">
            <w:pPr>
              <w:widowControl/>
              <w:rPr>
                <w:rFonts w:cstheme="minorHAnsi"/>
                <w:b/>
                <w:bCs/>
                <w:i/>
                <w:iCs/>
                <w:sz w:val="20"/>
                <w:szCs w:val="20"/>
                <w:u w:val="single"/>
                <w:lang w:val="en-GB" w:eastAsia="en-GB"/>
              </w:rPr>
            </w:pPr>
          </w:p>
        </w:tc>
        <w:tc>
          <w:tcPr>
            <w:tcW w:w="2410" w:type="dxa"/>
          </w:tcPr>
          <w:p w14:paraId="35B194F7"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Getting around</w:t>
            </w:r>
          </w:p>
        </w:tc>
        <w:tc>
          <w:tcPr>
            <w:tcW w:w="10773" w:type="dxa"/>
          </w:tcPr>
          <w:p w14:paraId="78AC9D12"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This captures any instances where a participant's ability to get around (travel from one place to another) has been impacted by hypoglycaemia. Includes travel to other places (e.g., abroad on holiday).</w:t>
            </w:r>
          </w:p>
        </w:tc>
      </w:tr>
      <w:tr w:rsidR="001A6F11" w:rsidRPr="00DB1581" w14:paraId="151535B0" w14:textId="77777777" w:rsidTr="00712291">
        <w:tc>
          <w:tcPr>
            <w:tcW w:w="421" w:type="dxa"/>
          </w:tcPr>
          <w:p w14:paraId="4D3F6707"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4</w:t>
            </w:r>
          </w:p>
        </w:tc>
        <w:tc>
          <w:tcPr>
            <w:tcW w:w="425" w:type="dxa"/>
          </w:tcPr>
          <w:p w14:paraId="14604E8A" w14:textId="77777777" w:rsidR="001A6F11" w:rsidRPr="00DB1581" w:rsidRDefault="001A6F11" w:rsidP="008F1B0E">
            <w:pPr>
              <w:widowControl/>
              <w:rPr>
                <w:rFonts w:cstheme="minorHAnsi"/>
                <w:b/>
                <w:bCs/>
                <w:i/>
                <w:iCs/>
                <w:sz w:val="20"/>
                <w:szCs w:val="20"/>
                <w:u w:val="single"/>
                <w:lang w:val="en-GB" w:eastAsia="en-GB"/>
              </w:rPr>
            </w:pPr>
          </w:p>
        </w:tc>
        <w:tc>
          <w:tcPr>
            <w:tcW w:w="2410" w:type="dxa"/>
          </w:tcPr>
          <w:p w14:paraId="4DB1B330"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Physical burden</w:t>
            </w:r>
          </w:p>
        </w:tc>
        <w:tc>
          <w:tcPr>
            <w:tcW w:w="10773" w:type="dxa"/>
          </w:tcPr>
          <w:p w14:paraId="353414FA" w14:textId="73ACC9E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This theme is designed to pick up examples of the physical burden of managing blood sugars and treating hypos, including have to carry a lot of kit. Also encompasses potential financial and resource burden</w:t>
            </w:r>
            <w:r w:rsidR="00712897">
              <w:rPr>
                <w:rFonts w:cstheme="minorHAnsi"/>
                <w:sz w:val="20"/>
                <w:szCs w:val="20"/>
                <w:lang w:val="en-GB"/>
              </w:rPr>
              <w:t>.</w:t>
            </w:r>
          </w:p>
        </w:tc>
      </w:tr>
      <w:tr w:rsidR="001A6F11" w:rsidRPr="00DB1581" w14:paraId="33F85BAC" w14:textId="77777777" w:rsidTr="00712291">
        <w:tc>
          <w:tcPr>
            <w:tcW w:w="421" w:type="dxa"/>
          </w:tcPr>
          <w:p w14:paraId="69B95649"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5</w:t>
            </w:r>
          </w:p>
        </w:tc>
        <w:tc>
          <w:tcPr>
            <w:tcW w:w="425" w:type="dxa"/>
          </w:tcPr>
          <w:p w14:paraId="063014F3" w14:textId="77777777" w:rsidR="001A6F11" w:rsidRPr="00DB1581" w:rsidRDefault="001A6F11" w:rsidP="008F1B0E">
            <w:pPr>
              <w:widowControl/>
              <w:rPr>
                <w:rFonts w:cstheme="minorHAnsi"/>
                <w:b/>
                <w:bCs/>
                <w:i/>
                <w:iCs/>
                <w:sz w:val="20"/>
                <w:szCs w:val="20"/>
                <w:u w:val="single"/>
                <w:lang w:val="en-GB" w:eastAsia="en-GB"/>
              </w:rPr>
            </w:pPr>
          </w:p>
        </w:tc>
        <w:tc>
          <w:tcPr>
            <w:tcW w:w="2410" w:type="dxa"/>
          </w:tcPr>
          <w:p w14:paraId="7DA06D5D"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Physiological symptoms</w:t>
            </w:r>
          </w:p>
        </w:tc>
        <w:tc>
          <w:tcPr>
            <w:tcW w:w="10773" w:type="dxa"/>
          </w:tcPr>
          <w:p w14:paraId="0E9086BE"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 xml:space="preserve">Covers physiological symptoms or sensations of a hypo. Examples include headaches, shakes, sweating, </w:t>
            </w:r>
            <w:proofErr w:type="gramStart"/>
            <w:r w:rsidRPr="00DB1581">
              <w:rPr>
                <w:rFonts w:cstheme="minorHAnsi"/>
                <w:sz w:val="20"/>
                <w:szCs w:val="20"/>
                <w:lang w:val="en-GB"/>
              </w:rPr>
              <w:t>dizziness</w:t>
            </w:r>
            <w:proofErr w:type="gramEnd"/>
            <w:r w:rsidRPr="00DB1581">
              <w:rPr>
                <w:rFonts w:cstheme="minorHAnsi"/>
                <w:sz w:val="20"/>
                <w:szCs w:val="20"/>
                <w:lang w:val="en-GB"/>
              </w:rPr>
              <w:t>. For now, also includes ability to communicate and behaving oddly/strangely.</w:t>
            </w:r>
          </w:p>
        </w:tc>
      </w:tr>
      <w:tr w:rsidR="001A6F11" w:rsidRPr="00DB1581" w14:paraId="3DA82287" w14:textId="77777777" w:rsidTr="00712291">
        <w:tc>
          <w:tcPr>
            <w:tcW w:w="421" w:type="dxa"/>
          </w:tcPr>
          <w:p w14:paraId="59E19459"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6</w:t>
            </w:r>
          </w:p>
        </w:tc>
        <w:tc>
          <w:tcPr>
            <w:tcW w:w="425" w:type="dxa"/>
          </w:tcPr>
          <w:p w14:paraId="3E050362" w14:textId="77777777" w:rsidR="001A6F11" w:rsidRPr="00DB1581" w:rsidRDefault="001A6F11" w:rsidP="008F1B0E">
            <w:pPr>
              <w:widowControl/>
              <w:rPr>
                <w:rFonts w:cstheme="minorHAnsi"/>
                <w:b/>
                <w:bCs/>
                <w:i/>
                <w:iCs/>
                <w:sz w:val="20"/>
                <w:szCs w:val="20"/>
                <w:u w:val="single"/>
                <w:lang w:val="en-GB" w:eastAsia="en-GB"/>
              </w:rPr>
            </w:pPr>
          </w:p>
        </w:tc>
        <w:tc>
          <w:tcPr>
            <w:tcW w:w="2410" w:type="dxa"/>
          </w:tcPr>
          <w:p w14:paraId="615F9367"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Sexual functioning</w:t>
            </w:r>
          </w:p>
        </w:tc>
        <w:tc>
          <w:tcPr>
            <w:tcW w:w="10773" w:type="dxa"/>
          </w:tcPr>
          <w:p w14:paraId="2AA6B73A"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Captures the relationship between sexual functioning and hypoglycaemia.</w:t>
            </w:r>
          </w:p>
        </w:tc>
      </w:tr>
      <w:tr w:rsidR="001A6F11" w:rsidRPr="00DB1581" w14:paraId="0448C922" w14:textId="77777777" w:rsidTr="00712291">
        <w:tc>
          <w:tcPr>
            <w:tcW w:w="421" w:type="dxa"/>
          </w:tcPr>
          <w:p w14:paraId="76415FBE"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7</w:t>
            </w:r>
          </w:p>
        </w:tc>
        <w:tc>
          <w:tcPr>
            <w:tcW w:w="425" w:type="dxa"/>
          </w:tcPr>
          <w:p w14:paraId="4502FFE6" w14:textId="77777777" w:rsidR="001A6F11" w:rsidRPr="00DB1581" w:rsidRDefault="001A6F11" w:rsidP="008F1B0E">
            <w:pPr>
              <w:widowControl/>
              <w:rPr>
                <w:rFonts w:cstheme="minorHAnsi"/>
                <w:b/>
                <w:bCs/>
                <w:i/>
                <w:iCs/>
                <w:sz w:val="20"/>
                <w:szCs w:val="20"/>
                <w:u w:val="single"/>
                <w:lang w:val="en-GB" w:eastAsia="en-GB"/>
              </w:rPr>
            </w:pPr>
          </w:p>
        </w:tc>
        <w:tc>
          <w:tcPr>
            <w:tcW w:w="2410" w:type="dxa"/>
          </w:tcPr>
          <w:p w14:paraId="1F1FE868"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Sleep</w:t>
            </w:r>
          </w:p>
        </w:tc>
        <w:tc>
          <w:tcPr>
            <w:tcW w:w="10773" w:type="dxa"/>
          </w:tcPr>
          <w:p w14:paraId="2623AD0F"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sz w:val="20"/>
                <w:szCs w:val="20"/>
                <w:lang w:val="en-GB"/>
              </w:rPr>
              <w:t>This theme covers any associations between hypoglycaemia and sleep, including sleep quality and night waking. Includes nightmares as a result of hypos.</w:t>
            </w:r>
          </w:p>
        </w:tc>
      </w:tr>
      <w:tr w:rsidR="001A6F11" w:rsidRPr="00DB1581" w14:paraId="7D2ED4D1" w14:textId="77777777" w:rsidTr="001A6F11">
        <w:tc>
          <w:tcPr>
            <w:tcW w:w="14029" w:type="dxa"/>
            <w:gridSpan w:val="4"/>
            <w:tcBorders>
              <w:bottom w:val="nil"/>
            </w:tcBorders>
          </w:tcPr>
          <w:p w14:paraId="2DF077C0" w14:textId="0CF6D845" w:rsidR="001A6F11" w:rsidRPr="001A6F11" w:rsidRDefault="001A6F11" w:rsidP="008F1B0E">
            <w:pPr>
              <w:widowControl/>
              <w:rPr>
                <w:rFonts w:cstheme="minorHAnsi"/>
                <w:b/>
                <w:bCs/>
                <w:sz w:val="20"/>
                <w:szCs w:val="20"/>
              </w:rPr>
            </w:pPr>
            <w:r w:rsidRPr="001A6F11">
              <w:rPr>
                <w:rFonts w:cstheme="minorHAnsi"/>
                <w:b/>
                <w:bCs/>
                <w:sz w:val="20"/>
                <w:szCs w:val="20"/>
              </w:rPr>
              <w:t>Psychological aspects</w:t>
            </w:r>
          </w:p>
        </w:tc>
      </w:tr>
    </w:tbl>
    <w:tbl>
      <w:tblPr>
        <w:tblStyle w:val="TableGrid"/>
        <w:tblW w:w="14029" w:type="dxa"/>
        <w:tblLook w:val="04A0" w:firstRow="1" w:lastRow="0" w:firstColumn="1" w:lastColumn="0" w:noHBand="0" w:noVBand="1"/>
      </w:tblPr>
      <w:tblGrid>
        <w:gridCol w:w="421"/>
        <w:gridCol w:w="425"/>
        <w:gridCol w:w="2410"/>
        <w:gridCol w:w="10773"/>
      </w:tblGrid>
      <w:tr w:rsidR="001A6F11" w:rsidRPr="00DB1581" w14:paraId="0623D745" w14:textId="77777777" w:rsidTr="00712291">
        <w:tc>
          <w:tcPr>
            <w:tcW w:w="421" w:type="dxa"/>
            <w:tcBorders>
              <w:top w:val="single" w:sz="4" w:space="0" w:color="auto"/>
              <w:left w:val="single" w:sz="4" w:space="0" w:color="auto"/>
              <w:bottom w:val="single" w:sz="4" w:space="0" w:color="auto"/>
              <w:right w:val="single" w:sz="4" w:space="0" w:color="auto"/>
            </w:tcBorders>
          </w:tcPr>
          <w:p w14:paraId="0B848402"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8</w:t>
            </w:r>
          </w:p>
        </w:tc>
        <w:tc>
          <w:tcPr>
            <w:tcW w:w="425" w:type="dxa"/>
            <w:tcBorders>
              <w:top w:val="single" w:sz="4" w:space="0" w:color="auto"/>
              <w:left w:val="single" w:sz="4" w:space="0" w:color="auto"/>
              <w:bottom w:val="single" w:sz="4" w:space="0" w:color="auto"/>
              <w:right w:val="single" w:sz="4" w:space="0" w:color="auto"/>
            </w:tcBorders>
          </w:tcPr>
          <w:p w14:paraId="75C8FE64"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2410" w:type="dxa"/>
            <w:tcBorders>
              <w:top w:val="single" w:sz="4" w:space="0" w:color="auto"/>
              <w:left w:val="single" w:sz="4" w:space="0" w:color="auto"/>
              <w:bottom w:val="single" w:sz="4" w:space="0" w:color="auto"/>
              <w:right w:val="single" w:sz="4" w:space="0" w:color="auto"/>
            </w:tcBorders>
          </w:tcPr>
          <w:p w14:paraId="3AD42EFA"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Autonomy, independence and control</w:t>
            </w:r>
          </w:p>
        </w:tc>
        <w:tc>
          <w:tcPr>
            <w:tcW w:w="10773" w:type="dxa"/>
            <w:tcBorders>
              <w:top w:val="single" w:sz="4" w:space="0" w:color="auto"/>
              <w:left w:val="single" w:sz="4" w:space="0" w:color="auto"/>
              <w:bottom w:val="single" w:sz="4" w:space="0" w:color="auto"/>
              <w:right w:val="single" w:sz="4" w:space="0" w:color="auto"/>
            </w:tcBorders>
          </w:tcPr>
          <w:p w14:paraId="791AEEFB"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Covers a person's perceived sense of autonomy, independence, and control and how that is impacted by hypoglycaemia, and what it means to them. Includes being able to do something when you want to do it (i.e., at a particular time).</w:t>
            </w:r>
          </w:p>
        </w:tc>
      </w:tr>
      <w:tr w:rsidR="001A6F11" w:rsidRPr="00DB1581" w14:paraId="10EA44C7" w14:textId="77777777" w:rsidTr="00712291">
        <w:tc>
          <w:tcPr>
            <w:tcW w:w="421" w:type="dxa"/>
            <w:tcBorders>
              <w:top w:val="single" w:sz="4" w:space="0" w:color="auto"/>
            </w:tcBorders>
          </w:tcPr>
          <w:p w14:paraId="28062492"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9</w:t>
            </w:r>
          </w:p>
        </w:tc>
        <w:tc>
          <w:tcPr>
            <w:tcW w:w="425" w:type="dxa"/>
            <w:tcBorders>
              <w:top w:val="single" w:sz="4" w:space="0" w:color="auto"/>
            </w:tcBorders>
          </w:tcPr>
          <w:p w14:paraId="0EB5B8DA"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2410" w:type="dxa"/>
            <w:tcBorders>
              <w:top w:val="single" w:sz="4" w:space="0" w:color="auto"/>
            </w:tcBorders>
          </w:tcPr>
          <w:p w14:paraId="6C81456E"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xml:space="preserve">Awareness </w:t>
            </w:r>
          </w:p>
        </w:tc>
        <w:tc>
          <w:tcPr>
            <w:tcW w:w="10773" w:type="dxa"/>
            <w:tcBorders>
              <w:top w:val="single" w:sz="4" w:space="0" w:color="auto"/>
            </w:tcBorders>
          </w:tcPr>
          <w:p w14:paraId="36517CAE" w14:textId="6AF29AA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xml:space="preserve">Awareness of hypos and the psychological benefit or detriment of this. </w:t>
            </w:r>
          </w:p>
        </w:tc>
      </w:tr>
      <w:tr w:rsidR="001A6F11" w:rsidRPr="00DB1581" w14:paraId="7C10B30C" w14:textId="77777777" w:rsidTr="00712291">
        <w:tc>
          <w:tcPr>
            <w:tcW w:w="421" w:type="dxa"/>
          </w:tcPr>
          <w:p w14:paraId="065D4ADB"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10</w:t>
            </w:r>
          </w:p>
        </w:tc>
        <w:tc>
          <w:tcPr>
            <w:tcW w:w="425" w:type="dxa"/>
          </w:tcPr>
          <w:p w14:paraId="440D6EC1"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2410" w:type="dxa"/>
          </w:tcPr>
          <w:p w14:paraId="525EA89F"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xml:space="preserve">Cognition </w:t>
            </w:r>
          </w:p>
        </w:tc>
        <w:tc>
          <w:tcPr>
            <w:tcW w:w="10773" w:type="dxa"/>
          </w:tcPr>
          <w:p w14:paraId="1477B2AE"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This covers instances of difficulties thinking, concentrating, and any other cognitive functions as an acute or lasting effect of hypos. Includes mental fatigue / brain fog.</w:t>
            </w:r>
          </w:p>
        </w:tc>
      </w:tr>
      <w:tr w:rsidR="001A6F11" w:rsidRPr="00DB1581" w14:paraId="6791BF87" w14:textId="77777777" w:rsidTr="00712291">
        <w:tc>
          <w:tcPr>
            <w:tcW w:w="421" w:type="dxa"/>
          </w:tcPr>
          <w:p w14:paraId="27B1DFB4"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11</w:t>
            </w:r>
          </w:p>
        </w:tc>
        <w:tc>
          <w:tcPr>
            <w:tcW w:w="425" w:type="dxa"/>
          </w:tcPr>
          <w:p w14:paraId="6DDFB81B"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2410" w:type="dxa"/>
          </w:tcPr>
          <w:p w14:paraId="3AA6DB18"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Cognitive burden, planning and obsessive behaviour</w:t>
            </w:r>
          </w:p>
        </w:tc>
        <w:tc>
          <w:tcPr>
            <w:tcW w:w="10773" w:type="dxa"/>
          </w:tcPr>
          <w:p w14:paraId="2E300827" w14:textId="46CAA7EA"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Includes the psychological burden of constant thinking about and planning for blood sugar management, hypervigilance, which may or may not result in obsessive behaviour. Also includes lack of spontaneity as a consequence of needing to plan</w:t>
            </w:r>
            <w:r w:rsidR="00712897">
              <w:rPr>
                <w:rFonts w:cstheme="minorHAnsi"/>
                <w:color w:val="000000"/>
                <w:sz w:val="20"/>
                <w:szCs w:val="20"/>
                <w:lang w:val="en-GB"/>
              </w:rPr>
              <w:t>.</w:t>
            </w:r>
          </w:p>
        </w:tc>
      </w:tr>
      <w:tr w:rsidR="001A6F11" w:rsidRPr="00DB1581" w14:paraId="37326591" w14:textId="77777777" w:rsidTr="00712291">
        <w:tc>
          <w:tcPr>
            <w:tcW w:w="421" w:type="dxa"/>
          </w:tcPr>
          <w:p w14:paraId="5D6D8D3C"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12</w:t>
            </w:r>
          </w:p>
        </w:tc>
        <w:tc>
          <w:tcPr>
            <w:tcW w:w="425" w:type="dxa"/>
          </w:tcPr>
          <w:p w14:paraId="4ED025EA"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2410" w:type="dxa"/>
          </w:tcPr>
          <w:p w14:paraId="224B6A29"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Self-management and coping</w:t>
            </w:r>
          </w:p>
        </w:tc>
        <w:tc>
          <w:tcPr>
            <w:tcW w:w="10773" w:type="dxa"/>
          </w:tcPr>
          <w:p w14:paraId="42346CCE" w14:textId="6798A5BB"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This is a broad theme covering discussions of hypoglycaemia and its self-management, including perceived control, and how it is linked to day-to-day management and coping. Also includes treating hypos and overcompensating</w:t>
            </w:r>
            <w:r w:rsidR="00712897">
              <w:rPr>
                <w:rFonts w:cstheme="minorHAnsi"/>
                <w:color w:val="000000"/>
                <w:sz w:val="20"/>
                <w:szCs w:val="20"/>
                <w:lang w:val="en-GB"/>
              </w:rPr>
              <w:t>.</w:t>
            </w:r>
          </w:p>
        </w:tc>
      </w:tr>
      <w:tr w:rsidR="001A6F11" w:rsidRPr="00DB1581" w14:paraId="4930413C" w14:textId="77777777" w:rsidTr="00712291">
        <w:tc>
          <w:tcPr>
            <w:tcW w:w="421" w:type="dxa"/>
          </w:tcPr>
          <w:p w14:paraId="236F496A"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13</w:t>
            </w:r>
          </w:p>
        </w:tc>
        <w:tc>
          <w:tcPr>
            <w:tcW w:w="425" w:type="dxa"/>
          </w:tcPr>
          <w:p w14:paraId="7F6023E5"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2410" w:type="dxa"/>
          </w:tcPr>
          <w:p w14:paraId="264E17D5"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Self-identity</w:t>
            </w:r>
          </w:p>
        </w:tc>
        <w:tc>
          <w:tcPr>
            <w:tcW w:w="10773" w:type="dxa"/>
          </w:tcPr>
          <w:p w14:paraId="1CF501CD"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This theme has three subthemes covering self-identity.</w:t>
            </w:r>
          </w:p>
        </w:tc>
      </w:tr>
      <w:tr w:rsidR="001A6F11" w:rsidRPr="00DB1581" w14:paraId="17ED18A2" w14:textId="77777777" w:rsidTr="00712291">
        <w:tc>
          <w:tcPr>
            <w:tcW w:w="421" w:type="dxa"/>
          </w:tcPr>
          <w:p w14:paraId="5B436A72"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425" w:type="dxa"/>
          </w:tcPr>
          <w:p w14:paraId="4457747A"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a</w:t>
            </w:r>
          </w:p>
        </w:tc>
        <w:tc>
          <w:tcPr>
            <w:tcW w:w="2410" w:type="dxa"/>
          </w:tcPr>
          <w:p w14:paraId="6A1C36B9"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Confidence</w:t>
            </w:r>
          </w:p>
        </w:tc>
        <w:tc>
          <w:tcPr>
            <w:tcW w:w="10773" w:type="dxa"/>
          </w:tcPr>
          <w:p w14:paraId="576C3F35"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Confidence to do things and take part in things despite hypoglycaemia, or the potential for a hypo.</w:t>
            </w:r>
          </w:p>
        </w:tc>
      </w:tr>
      <w:tr w:rsidR="001A6F11" w:rsidRPr="00DB1581" w14:paraId="47A44AB8" w14:textId="77777777" w:rsidTr="00712291">
        <w:tc>
          <w:tcPr>
            <w:tcW w:w="421" w:type="dxa"/>
          </w:tcPr>
          <w:p w14:paraId="7DD6C74E"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lastRenderedPageBreak/>
              <w:t> </w:t>
            </w:r>
          </w:p>
        </w:tc>
        <w:tc>
          <w:tcPr>
            <w:tcW w:w="425" w:type="dxa"/>
          </w:tcPr>
          <w:p w14:paraId="33A8EDFA"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b</w:t>
            </w:r>
          </w:p>
        </w:tc>
        <w:tc>
          <w:tcPr>
            <w:tcW w:w="2410" w:type="dxa"/>
          </w:tcPr>
          <w:p w14:paraId="72BE665C"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Dignity and respect</w:t>
            </w:r>
          </w:p>
        </w:tc>
        <w:tc>
          <w:tcPr>
            <w:tcW w:w="10773" w:type="dxa"/>
          </w:tcPr>
          <w:p w14:paraId="0D69CFC3"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Captures whether participants feel like they are treated with dignity and respect by others in spite of hypoglycaemia and blood sugar management.</w:t>
            </w:r>
          </w:p>
        </w:tc>
      </w:tr>
      <w:tr w:rsidR="001A6F11" w:rsidRPr="00DB1581" w14:paraId="1A2F7920" w14:textId="77777777" w:rsidTr="00712291">
        <w:tc>
          <w:tcPr>
            <w:tcW w:w="421" w:type="dxa"/>
          </w:tcPr>
          <w:p w14:paraId="04D36038"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425" w:type="dxa"/>
          </w:tcPr>
          <w:p w14:paraId="3C1F02FC"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w:t>
            </w:r>
          </w:p>
        </w:tc>
        <w:tc>
          <w:tcPr>
            <w:tcW w:w="2410" w:type="dxa"/>
          </w:tcPr>
          <w:p w14:paraId="0CC251B2"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Self-worth, self-criticism and self-blame</w:t>
            </w:r>
          </w:p>
        </w:tc>
        <w:tc>
          <w:tcPr>
            <w:tcW w:w="10773" w:type="dxa"/>
          </w:tcPr>
          <w:p w14:paraId="15C4CC78"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This theme covers people's sense of self-worth, self-esteem, and instances of self-criticism/self-blame due to hypos e.g., not managing blood sugar to standards participants would like. Includes body image.</w:t>
            </w:r>
          </w:p>
        </w:tc>
      </w:tr>
      <w:tr w:rsidR="001A6F11" w:rsidRPr="00DB1581" w14:paraId="6C6C7DC6" w14:textId="77777777" w:rsidTr="00712291">
        <w:tc>
          <w:tcPr>
            <w:tcW w:w="421" w:type="dxa"/>
          </w:tcPr>
          <w:p w14:paraId="2A468B7B"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14</w:t>
            </w:r>
          </w:p>
        </w:tc>
        <w:tc>
          <w:tcPr>
            <w:tcW w:w="425" w:type="dxa"/>
          </w:tcPr>
          <w:p w14:paraId="6F61B2C4"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2410" w:type="dxa"/>
          </w:tcPr>
          <w:p w14:paraId="1213F52E"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Emotions</w:t>
            </w:r>
          </w:p>
        </w:tc>
        <w:tc>
          <w:tcPr>
            <w:tcW w:w="10773" w:type="dxa"/>
          </w:tcPr>
          <w:p w14:paraId="22B18F73"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This theme has nine subthemes covering emotions.</w:t>
            </w:r>
          </w:p>
        </w:tc>
      </w:tr>
      <w:tr w:rsidR="001A6F11" w:rsidRPr="00DB1581" w14:paraId="58C47880" w14:textId="77777777" w:rsidTr="00712291">
        <w:tc>
          <w:tcPr>
            <w:tcW w:w="421" w:type="dxa"/>
          </w:tcPr>
          <w:p w14:paraId="1921FF2E"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425" w:type="dxa"/>
          </w:tcPr>
          <w:p w14:paraId="48475111"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a</w:t>
            </w:r>
          </w:p>
        </w:tc>
        <w:tc>
          <w:tcPr>
            <w:tcW w:w="2410" w:type="dxa"/>
          </w:tcPr>
          <w:p w14:paraId="72FDCC58"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Worry and anxiety</w:t>
            </w:r>
          </w:p>
        </w:tc>
        <w:tc>
          <w:tcPr>
            <w:tcW w:w="10773" w:type="dxa"/>
          </w:tcPr>
          <w:p w14:paraId="0D953DA3"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xml:space="preserve">Covers the spectrum of worry and/or anxiety, both as non-clinical states and a clinical state of 'Anxiety' (i.e., an anxiety disorder) if relevant. </w:t>
            </w:r>
          </w:p>
        </w:tc>
      </w:tr>
      <w:tr w:rsidR="001A6F11" w:rsidRPr="00DB1581" w14:paraId="189CCCB1" w14:textId="77777777" w:rsidTr="00712291">
        <w:tc>
          <w:tcPr>
            <w:tcW w:w="421" w:type="dxa"/>
          </w:tcPr>
          <w:p w14:paraId="044FBB04"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425" w:type="dxa"/>
          </w:tcPr>
          <w:p w14:paraId="01C64D3E"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b</w:t>
            </w:r>
          </w:p>
        </w:tc>
        <w:tc>
          <w:tcPr>
            <w:tcW w:w="2410" w:type="dxa"/>
          </w:tcPr>
          <w:p w14:paraId="2F8DED43"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Sadness and depression</w:t>
            </w:r>
          </w:p>
        </w:tc>
        <w:tc>
          <w:tcPr>
            <w:tcW w:w="10773" w:type="dxa"/>
          </w:tcPr>
          <w:p w14:paraId="72D3DD7C"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xml:space="preserve">Covers the spectrum of sadness and/or depression, both as non-clinical states and a clinical state of 'Depression' if relevant. </w:t>
            </w:r>
          </w:p>
        </w:tc>
      </w:tr>
      <w:tr w:rsidR="001A6F11" w:rsidRPr="00DB1581" w14:paraId="5272D972" w14:textId="77777777" w:rsidTr="00712291">
        <w:tc>
          <w:tcPr>
            <w:tcW w:w="421" w:type="dxa"/>
          </w:tcPr>
          <w:p w14:paraId="526553E7"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425" w:type="dxa"/>
          </w:tcPr>
          <w:p w14:paraId="1450A833"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w:t>
            </w:r>
          </w:p>
        </w:tc>
        <w:tc>
          <w:tcPr>
            <w:tcW w:w="2410" w:type="dxa"/>
          </w:tcPr>
          <w:p w14:paraId="755179DA"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Embarrassment</w:t>
            </w:r>
          </w:p>
        </w:tc>
        <w:tc>
          <w:tcPr>
            <w:tcW w:w="10773" w:type="dxa"/>
          </w:tcPr>
          <w:p w14:paraId="51BC8B6B"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Covers instances of embarrassment, which are differentiated from shame.</w:t>
            </w:r>
          </w:p>
        </w:tc>
      </w:tr>
      <w:tr w:rsidR="001A6F11" w:rsidRPr="00DB1581" w14:paraId="3FEC0A1B" w14:textId="77777777" w:rsidTr="00712291">
        <w:tc>
          <w:tcPr>
            <w:tcW w:w="421" w:type="dxa"/>
          </w:tcPr>
          <w:p w14:paraId="1B0CBEB6"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425" w:type="dxa"/>
          </w:tcPr>
          <w:p w14:paraId="52FD0CDB"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d</w:t>
            </w:r>
          </w:p>
        </w:tc>
        <w:tc>
          <w:tcPr>
            <w:tcW w:w="2410" w:type="dxa"/>
          </w:tcPr>
          <w:p w14:paraId="50E30500"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Frustration and annoyance</w:t>
            </w:r>
          </w:p>
        </w:tc>
        <w:tc>
          <w:tcPr>
            <w:tcW w:w="10773" w:type="dxa"/>
          </w:tcPr>
          <w:p w14:paraId="3043A9DE"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Covers instances of frustration and annoyance, which are currently differentiated from irritability, anger.</w:t>
            </w:r>
          </w:p>
        </w:tc>
      </w:tr>
      <w:tr w:rsidR="001A6F11" w:rsidRPr="00DB1581" w14:paraId="11C5F245" w14:textId="77777777" w:rsidTr="00712291">
        <w:tc>
          <w:tcPr>
            <w:tcW w:w="421" w:type="dxa"/>
          </w:tcPr>
          <w:p w14:paraId="5D4C7729"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425" w:type="dxa"/>
          </w:tcPr>
          <w:p w14:paraId="5984596D"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e</w:t>
            </w:r>
          </w:p>
        </w:tc>
        <w:tc>
          <w:tcPr>
            <w:tcW w:w="2410" w:type="dxa"/>
          </w:tcPr>
          <w:p w14:paraId="45679C44"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Guilt</w:t>
            </w:r>
          </w:p>
        </w:tc>
        <w:tc>
          <w:tcPr>
            <w:tcW w:w="10773" w:type="dxa"/>
          </w:tcPr>
          <w:p w14:paraId="32E2A53C" w14:textId="661ADC16"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Covers instances of guilt</w:t>
            </w:r>
            <w:r w:rsidR="00712897">
              <w:rPr>
                <w:rFonts w:cstheme="minorHAnsi"/>
                <w:color w:val="000000"/>
                <w:sz w:val="20"/>
                <w:szCs w:val="20"/>
                <w:lang w:val="en-GB"/>
              </w:rPr>
              <w:t>.</w:t>
            </w:r>
          </w:p>
        </w:tc>
      </w:tr>
      <w:tr w:rsidR="001A6F11" w:rsidRPr="00DB1581" w14:paraId="08248A03" w14:textId="77777777" w:rsidTr="00712291">
        <w:tc>
          <w:tcPr>
            <w:tcW w:w="421" w:type="dxa"/>
          </w:tcPr>
          <w:p w14:paraId="71EC0579"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425" w:type="dxa"/>
          </w:tcPr>
          <w:p w14:paraId="069AECF2"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f</w:t>
            </w:r>
          </w:p>
        </w:tc>
        <w:tc>
          <w:tcPr>
            <w:tcW w:w="2410" w:type="dxa"/>
          </w:tcPr>
          <w:p w14:paraId="0080A84E"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Happiness</w:t>
            </w:r>
          </w:p>
        </w:tc>
        <w:tc>
          <w:tcPr>
            <w:tcW w:w="10773" w:type="dxa"/>
          </w:tcPr>
          <w:p w14:paraId="62C56823"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This covers instances of happiness, predominantly associated with good blood sugar management and avoiding hypoglycaemia.</w:t>
            </w:r>
          </w:p>
        </w:tc>
      </w:tr>
      <w:tr w:rsidR="001A6F11" w:rsidRPr="00DB1581" w14:paraId="336BFDB8" w14:textId="77777777" w:rsidTr="00712291">
        <w:tc>
          <w:tcPr>
            <w:tcW w:w="421" w:type="dxa"/>
          </w:tcPr>
          <w:p w14:paraId="7CCF48F0"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425" w:type="dxa"/>
          </w:tcPr>
          <w:p w14:paraId="372E13B4"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g</w:t>
            </w:r>
          </w:p>
        </w:tc>
        <w:tc>
          <w:tcPr>
            <w:tcW w:w="2410" w:type="dxa"/>
          </w:tcPr>
          <w:p w14:paraId="7DB6A53F"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Anger and irritability</w:t>
            </w:r>
          </w:p>
        </w:tc>
        <w:tc>
          <w:tcPr>
            <w:tcW w:w="10773" w:type="dxa"/>
          </w:tcPr>
          <w:p w14:paraId="62EE5F51"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Covers instances of anger and irritability, which are differentiated from frustration and annoyance.</w:t>
            </w:r>
          </w:p>
        </w:tc>
      </w:tr>
      <w:tr w:rsidR="001A6F11" w:rsidRPr="00DB1581" w14:paraId="4D378607" w14:textId="77777777" w:rsidTr="00712291">
        <w:tc>
          <w:tcPr>
            <w:tcW w:w="421" w:type="dxa"/>
          </w:tcPr>
          <w:p w14:paraId="50F15A7A"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425" w:type="dxa"/>
          </w:tcPr>
          <w:p w14:paraId="5628E3F8"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h</w:t>
            </w:r>
          </w:p>
        </w:tc>
        <w:tc>
          <w:tcPr>
            <w:tcW w:w="2410" w:type="dxa"/>
          </w:tcPr>
          <w:p w14:paraId="79BE7F47"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Stress and distress</w:t>
            </w:r>
          </w:p>
        </w:tc>
        <w:tc>
          <w:tcPr>
            <w:tcW w:w="10773" w:type="dxa"/>
          </w:tcPr>
          <w:p w14:paraId="1C25ACFF"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Covers instances of stress and or distress.</w:t>
            </w:r>
          </w:p>
        </w:tc>
      </w:tr>
      <w:tr w:rsidR="001A6F11" w:rsidRPr="00DB1581" w14:paraId="1C3C1CC4" w14:textId="77777777" w:rsidTr="00712291">
        <w:tc>
          <w:tcPr>
            <w:tcW w:w="421" w:type="dxa"/>
          </w:tcPr>
          <w:p w14:paraId="661DA05E"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425" w:type="dxa"/>
          </w:tcPr>
          <w:p w14:paraId="199E3095" w14:textId="77777777" w:rsidR="001A6F11" w:rsidRPr="00DB1581" w:rsidRDefault="001A6F11" w:rsidP="008F1B0E">
            <w:pPr>
              <w:widowControl/>
              <w:rPr>
                <w:rFonts w:cstheme="minorHAnsi"/>
                <w:b/>
                <w:bCs/>
                <w:i/>
                <w:iCs/>
                <w:sz w:val="20"/>
                <w:szCs w:val="20"/>
                <w:u w:val="single"/>
                <w:lang w:val="en-GB" w:eastAsia="en-GB"/>
              </w:rPr>
            </w:pPr>
            <w:proofErr w:type="spellStart"/>
            <w:r w:rsidRPr="00DB1581">
              <w:rPr>
                <w:rFonts w:cstheme="minorHAnsi"/>
                <w:color w:val="000000"/>
                <w:sz w:val="20"/>
                <w:szCs w:val="20"/>
                <w:lang w:val="en-GB"/>
              </w:rPr>
              <w:t>i</w:t>
            </w:r>
            <w:proofErr w:type="spellEnd"/>
          </w:p>
        </w:tc>
        <w:tc>
          <w:tcPr>
            <w:tcW w:w="2410" w:type="dxa"/>
          </w:tcPr>
          <w:p w14:paraId="64BA9653"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Fear, scared</w:t>
            </w:r>
          </w:p>
        </w:tc>
        <w:tc>
          <w:tcPr>
            <w:tcW w:w="10773" w:type="dxa"/>
          </w:tcPr>
          <w:p w14:paraId="6525D1F4"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Covers instances of fear or being scared, differentiated from worry.</w:t>
            </w:r>
          </w:p>
        </w:tc>
      </w:tr>
      <w:tr w:rsidR="001A6F11" w:rsidRPr="00DB1581" w14:paraId="6DE9C417" w14:textId="77777777" w:rsidTr="00712291">
        <w:tc>
          <w:tcPr>
            <w:tcW w:w="421" w:type="dxa"/>
          </w:tcPr>
          <w:p w14:paraId="49283EAE"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15</w:t>
            </w:r>
          </w:p>
        </w:tc>
        <w:tc>
          <w:tcPr>
            <w:tcW w:w="425" w:type="dxa"/>
          </w:tcPr>
          <w:p w14:paraId="27F96AE2"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2410" w:type="dxa"/>
          </w:tcPr>
          <w:p w14:paraId="2686397E"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Vulnerability or safety</w:t>
            </w:r>
          </w:p>
        </w:tc>
        <w:tc>
          <w:tcPr>
            <w:tcW w:w="10773" w:type="dxa"/>
          </w:tcPr>
          <w:p w14:paraId="06586501" w14:textId="2F7A1A13"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Captures concerns around vulnerability / safety</w:t>
            </w:r>
            <w:r w:rsidR="00712897">
              <w:rPr>
                <w:rFonts w:cstheme="minorHAnsi"/>
                <w:color w:val="000000"/>
                <w:sz w:val="20"/>
                <w:szCs w:val="20"/>
                <w:lang w:val="en-GB"/>
              </w:rPr>
              <w:t>.</w:t>
            </w:r>
          </w:p>
        </w:tc>
      </w:tr>
      <w:tr w:rsidR="001A6F11" w:rsidRPr="00DB1581" w14:paraId="4D2337E6" w14:textId="77777777" w:rsidTr="00453E62">
        <w:tc>
          <w:tcPr>
            <w:tcW w:w="14029" w:type="dxa"/>
            <w:gridSpan w:val="4"/>
          </w:tcPr>
          <w:p w14:paraId="4C073FB1" w14:textId="45909CE8" w:rsidR="001A6F11" w:rsidRPr="001A6F11" w:rsidRDefault="001A6F11" w:rsidP="008F1B0E">
            <w:pPr>
              <w:widowControl/>
              <w:rPr>
                <w:rFonts w:cstheme="minorHAnsi"/>
                <w:b/>
                <w:bCs/>
                <w:color w:val="000000"/>
                <w:sz w:val="20"/>
                <w:szCs w:val="20"/>
              </w:rPr>
            </w:pPr>
            <w:r w:rsidRPr="001A6F11">
              <w:rPr>
                <w:rFonts w:cstheme="minorHAnsi"/>
                <w:b/>
                <w:bCs/>
                <w:sz w:val="20"/>
                <w:szCs w:val="20"/>
              </w:rPr>
              <w:t>Social aspects</w:t>
            </w:r>
          </w:p>
        </w:tc>
      </w:tr>
      <w:tr w:rsidR="001A6F11" w:rsidRPr="00DB1581" w14:paraId="075E3D94" w14:textId="77777777" w:rsidTr="001A6F11">
        <w:tc>
          <w:tcPr>
            <w:tcW w:w="421" w:type="dxa"/>
          </w:tcPr>
          <w:p w14:paraId="3CF69794"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16</w:t>
            </w:r>
          </w:p>
        </w:tc>
        <w:tc>
          <w:tcPr>
            <w:tcW w:w="425" w:type="dxa"/>
          </w:tcPr>
          <w:p w14:paraId="5B21D065"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2410" w:type="dxa"/>
          </w:tcPr>
          <w:p w14:paraId="3B44A568"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Social activities</w:t>
            </w:r>
          </w:p>
        </w:tc>
        <w:tc>
          <w:tcPr>
            <w:tcW w:w="10773" w:type="dxa"/>
          </w:tcPr>
          <w:p w14:paraId="538A6424"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This theme includes content on activities that have a social element (e.g., going out to meet friends) and their relationship with hypoglycaemia.</w:t>
            </w:r>
          </w:p>
        </w:tc>
      </w:tr>
      <w:tr w:rsidR="001A6F11" w:rsidRPr="00DB1581" w14:paraId="0AECE0EC" w14:textId="77777777" w:rsidTr="001A6F11">
        <w:tc>
          <w:tcPr>
            <w:tcW w:w="421" w:type="dxa"/>
          </w:tcPr>
          <w:p w14:paraId="456D103C"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17</w:t>
            </w:r>
          </w:p>
        </w:tc>
        <w:tc>
          <w:tcPr>
            <w:tcW w:w="425" w:type="dxa"/>
          </w:tcPr>
          <w:p w14:paraId="0414B3DA"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2410" w:type="dxa"/>
          </w:tcPr>
          <w:p w14:paraId="294474CF"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Relationships</w:t>
            </w:r>
          </w:p>
        </w:tc>
        <w:tc>
          <w:tcPr>
            <w:tcW w:w="10773" w:type="dxa"/>
          </w:tcPr>
          <w:p w14:paraId="4241EF08"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This theme has six subthemes covering relationships.</w:t>
            </w:r>
          </w:p>
        </w:tc>
      </w:tr>
      <w:tr w:rsidR="001A6F11" w:rsidRPr="00DB1581" w14:paraId="3881F795" w14:textId="77777777" w:rsidTr="001A6F11">
        <w:tc>
          <w:tcPr>
            <w:tcW w:w="421" w:type="dxa"/>
          </w:tcPr>
          <w:p w14:paraId="3C7D74CF"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425" w:type="dxa"/>
          </w:tcPr>
          <w:p w14:paraId="33F6F015"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a</w:t>
            </w:r>
          </w:p>
        </w:tc>
        <w:tc>
          <w:tcPr>
            <w:tcW w:w="2410" w:type="dxa"/>
          </w:tcPr>
          <w:p w14:paraId="23652907"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Clinicians</w:t>
            </w:r>
          </w:p>
        </w:tc>
        <w:tc>
          <w:tcPr>
            <w:tcW w:w="10773" w:type="dxa"/>
          </w:tcPr>
          <w:p w14:paraId="7AE3AB62"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This theme is designed to capture a participants' relationship with their healthcare team / clinicians and how this is impacted by them having hypos.</w:t>
            </w:r>
          </w:p>
        </w:tc>
      </w:tr>
      <w:tr w:rsidR="001A6F11" w:rsidRPr="00DB1581" w14:paraId="596821BE" w14:textId="77777777" w:rsidTr="001A6F11">
        <w:tc>
          <w:tcPr>
            <w:tcW w:w="421" w:type="dxa"/>
          </w:tcPr>
          <w:p w14:paraId="6D03DDCD"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425" w:type="dxa"/>
          </w:tcPr>
          <w:p w14:paraId="4860F709"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b</w:t>
            </w:r>
          </w:p>
        </w:tc>
        <w:tc>
          <w:tcPr>
            <w:tcW w:w="2410" w:type="dxa"/>
          </w:tcPr>
          <w:p w14:paraId="4AF1EDF5"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Friendships</w:t>
            </w:r>
          </w:p>
        </w:tc>
        <w:tc>
          <w:tcPr>
            <w:tcW w:w="10773" w:type="dxa"/>
          </w:tcPr>
          <w:p w14:paraId="3E42BA1A"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Covers friendships and its relationship with hypos/blood sugar management.</w:t>
            </w:r>
          </w:p>
        </w:tc>
      </w:tr>
      <w:tr w:rsidR="001A6F11" w:rsidRPr="00DB1581" w14:paraId="301C9F66" w14:textId="77777777" w:rsidTr="001A6F11">
        <w:tc>
          <w:tcPr>
            <w:tcW w:w="421" w:type="dxa"/>
          </w:tcPr>
          <w:p w14:paraId="0AE348D3"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425" w:type="dxa"/>
          </w:tcPr>
          <w:p w14:paraId="4C6D6F1D"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w:t>
            </w:r>
          </w:p>
        </w:tc>
        <w:tc>
          <w:tcPr>
            <w:tcW w:w="2410" w:type="dxa"/>
          </w:tcPr>
          <w:p w14:paraId="1D4C88AC"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Partner</w:t>
            </w:r>
          </w:p>
        </w:tc>
        <w:tc>
          <w:tcPr>
            <w:tcW w:w="10773" w:type="dxa"/>
          </w:tcPr>
          <w:p w14:paraId="1C23FFDC"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Covers partner and its relationship with hypos/blood sugar management.</w:t>
            </w:r>
          </w:p>
        </w:tc>
      </w:tr>
      <w:tr w:rsidR="001A6F11" w:rsidRPr="00DB1581" w14:paraId="38939978" w14:textId="77777777" w:rsidTr="001A6F11">
        <w:tc>
          <w:tcPr>
            <w:tcW w:w="421" w:type="dxa"/>
          </w:tcPr>
          <w:p w14:paraId="551BD64F"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425" w:type="dxa"/>
          </w:tcPr>
          <w:p w14:paraId="27F96EC4"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d</w:t>
            </w:r>
          </w:p>
        </w:tc>
        <w:tc>
          <w:tcPr>
            <w:tcW w:w="2410" w:type="dxa"/>
          </w:tcPr>
          <w:p w14:paraId="271B156B"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Relationship with others</w:t>
            </w:r>
          </w:p>
        </w:tc>
        <w:tc>
          <w:tcPr>
            <w:tcW w:w="10773" w:type="dxa"/>
          </w:tcPr>
          <w:p w14:paraId="551176E5" w14:textId="7A471BD2"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This theme is designed to capture the relationship of hypoglycaemia to relations with others not otherwise specified, such as strangers, or co-workers</w:t>
            </w:r>
            <w:r w:rsidR="00712897">
              <w:rPr>
                <w:rFonts w:cstheme="minorHAnsi"/>
                <w:color w:val="000000"/>
                <w:sz w:val="20"/>
                <w:szCs w:val="20"/>
                <w:lang w:val="en-GB"/>
              </w:rPr>
              <w:t>.</w:t>
            </w:r>
          </w:p>
        </w:tc>
      </w:tr>
      <w:tr w:rsidR="001A6F11" w:rsidRPr="00DB1581" w14:paraId="4368AA88" w14:textId="77777777" w:rsidTr="001A6F11">
        <w:tc>
          <w:tcPr>
            <w:tcW w:w="421" w:type="dxa"/>
          </w:tcPr>
          <w:p w14:paraId="11736B7C"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425" w:type="dxa"/>
          </w:tcPr>
          <w:p w14:paraId="13EF3430"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e</w:t>
            </w:r>
          </w:p>
        </w:tc>
        <w:tc>
          <w:tcPr>
            <w:tcW w:w="2410" w:type="dxa"/>
          </w:tcPr>
          <w:p w14:paraId="5AB1DB7F"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xml:space="preserve">Children </w:t>
            </w:r>
          </w:p>
        </w:tc>
        <w:tc>
          <w:tcPr>
            <w:tcW w:w="10773" w:type="dxa"/>
          </w:tcPr>
          <w:p w14:paraId="743E6A9B"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Covering the impact and relationship of hypos on own children (including grandchildren), which was raised in many interviews.</w:t>
            </w:r>
          </w:p>
        </w:tc>
      </w:tr>
      <w:tr w:rsidR="001A6F11" w:rsidRPr="00DB1581" w14:paraId="065608C6" w14:textId="77777777" w:rsidTr="001A6F11">
        <w:tc>
          <w:tcPr>
            <w:tcW w:w="421" w:type="dxa"/>
          </w:tcPr>
          <w:p w14:paraId="2162FF1F"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425" w:type="dxa"/>
          </w:tcPr>
          <w:p w14:paraId="6DE20853"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f</w:t>
            </w:r>
          </w:p>
        </w:tc>
        <w:tc>
          <w:tcPr>
            <w:tcW w:w="2410" w:type="dxa"/>
          </w:tcPr>
          <w:p w14:paraId="13663D9C"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Wider family</w:t>
            </w:r>
          </w:p>
        </w:tc>
        <w:tc>
          <w:tcPr>
            <w:tcW w:w="10773" w:type="dxa"/>
          </w:tcPr>
          <w:p w14:paraId="54563B0C"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xml:space="preserve">Covering the impact and relationship on hypos on others in one's family, such as grandparents, aunties, uncles etc. </w:t>
            </w:r>
          </w:p>
        </w:tc>
      </w:tr>
      <w:tr w:rsidR="001A6F11" w:rsidRPr="00DB1581" w14:paraId="6DEC26FB" w14:textId="77777777" w:rsidTr="001A6F11">
        <w:tc>
          <w:tcPr>
            <w:tcW w:w="421" w:type="dxa"/>
          </w:tcPr>
          <w:p w14:paraId="2D9B57AB"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18</w:t>
            </w:r>
          </w:p>
        </w:tc>
        <w:tc>
          <w:tcPr>
            <w:tcW w:w="425" w:type="dxa"/>
          </w:tcPr>
          <w:p w14:paraId="3B7EF664"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2410" w:type="dxa"/>
          </w:tcPr>
          <w:p w14:paraId="10BF27CF"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Stigma and discrimination</w:t>
            </w:r>
          </w:p>
        </w:tc>
        <w:tc>
          <w:tcPr>
            <w:tcW w:w="10773" w:type="dxa"/>
          </w:tcPr>
          <w:p w14:paraId="1066DCA3"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Captures any instances of stigma and/or discrimination described by participants in relationship to blood sugar management, including perceived/feared stigma/discrimination.</w:t>
            </w:r>
          </w:p>
        </w:tc>
      </w:tr>
      <w:tr w:rsidR="001A6F11" w:rsidRPr="00DB1581" w14:paraId="20B10DC0" w14:textId="77777777" w:rsidTr="001A6F11">
        <w:tc>
          <w:tcPr>
            <w:tcW w:w="421" w:type="dxa"/>
          </w:tcPr>
          <w:p w14:paraId="17A062EC"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19</w:t>
            </w:r>
          </w:p>
        </w:tc>
        <w:tc>
          <w:tcPr>
            <w:tcW w:w="425" w:type="dxa"/>
          </w:tcPr>
          <w:p w14:paraId="7EFFB566"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w:t>
            </w:r>
          </w:p>
        </w:tc>
        <w:tc>
          <w:tcPr>
            <w:tcW w:w="2410" w:type="dxa"/>
          </w:tcPr>
          <w:p w14:paraId="32DEF6B4"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Impact on others</w:t>
            </w:r>
          </w:p>
        </w:tc>
        <w:tc>
          <w:tcPr>
            <w:tcW w:w="10773" w:type="dxa"/>
          </w:tcPr>
          <w:p w14:paraId="2EAB198E" w14:textId="77777777" w:rsidR="001A6F11" w:rsidRPr="00DB1581" w:rsidRDefault="001A6F11" w:rsidP="008F1B0E">
            <w:pPr>
              <w:widowControl/>
              <w:rPr>
                <w:rFonts w:cstheme="minorHAnsi"/>
                <w:b/>
                <w:bCs/>
                <w:i/>
                <w:iCs/>
                <w:sz w:val="20"/>
                <w:szCs w:val="20"/>
                <w:u w:val="single"/>
                <w:lang w:val="en-GB" w:eastAsia="en-GB"/>
              </w:rPr>
            </w:pPr>
            <w:r w:rsidRPr="00DB1581">
              <w:rPr>
                <w:rFonts w:cstheme="minorHAnsi"/>
                <w:color w:val="000000"/>
                <w:sz w:val="20"/>
                <w:szCs w:val="20"/>
                <w:lang w:val="en-GB"/>
              </w:rPr>
              <w:t xml:space="preserve">This theme captures a perceived burden on others as a consequence of blood sugar management and hypoglycaemia. </w:t>
            </w:r>
          </w:p>
        </w:tc>
      </w:tr>
    </w:tbl>
    <w:p w14:paraId="2D800766" w14:textId="77777777" w:rsidR="001E0F08" w:rsidRDefault="00C2419C"/>
    <w:sectPr w:rsidR="001E0F08" w:rsidSect="001A6F1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F11"/>
    <w:rsid w:val="00142F34"/>
    <w:rsid w:val="001A6F11"/>
    <w:rsid w:val="0036557C"/>
    <w:rsid w:val="00474FEF"/>
    <w:rsid w:val="00712291"/>
    <w:rsid w:val="00712897"/>
    <w:rsid w:val="00B70449"/>
    <w:rsid w:val="00BA5E26"/>
    <w:rsid w:val="00C2419C"/>
    <w:rsid w:val="00EE4B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E4CAE"/>
  <w15:chartTrackingRefBased/>
  <w15:docId w15:val="{CAF1984D-7D8B-4F44-98AB-82DB55DDA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A6F11"/>
    <w:pPr>
      <w:widowControl w:val="0"/>
      <w:spacing w:after="0" w:line="240" w:lineRule="auto"/>
    </w:pPr>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IMI table 4"/>
    <w:basedOn w:val="TableNormal"/>
    <w:uiPriority w:val="39"/>
    <w:rsid w:val="001A6F11"/>
    <w:pPr>
      <w:spacing w:after="0" w:line="240" w:lineRule="auto"/>
    </w:pPr>
    <w:rPr>
      <w:rFonts w:eastAsiaTheme="minorHAnsi"/>
      <w:sz w:val="24"/>
      <w:szCs w:val="24"/>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unhideWhenUsed/>
    <w:qFormat/>
    <w:rsid w:val="001A6F11"/>
    <w:pPr>
      <w:spacing w:after="200"/>
    </w:pPr>
    <w:rPr>
      <w:i/>
      <w:iCs/>
      <w:color w:val="44546A" w:themeColor="text2"/>
      <w:sz w:val="18"/>
      <w:szCs w:val="18"/>
    </w:rPr>
  </w:style>
  <w:style w:type="character" w:styleId="CommentReference">
    <w:name w:val="annotation reference"/>
    <w:basedOn w:val="DefaultParagraphFont"/>
    <w:uiPriority w:val="99"/>
    <w:semiHidden/>
    <w:unhideWhenUsed/>
    <w:rsid w:val="00B70449"/>
    <w:rPr>
      <w:sz w:val="16"/>
      <w:szCs w:val="16"/>
    </w:rPr>
  </w:style>
  <w:style w:type="paragraph" w:styleId="CommentText">
    <w:name w:val="annotation text"/>
    <w:basedOn w:val="Normal"/>
    <w:link w:val="CommentTextChar"/>
    <w:uiPriority w:val="99"/>
    <w:semiHidden/>
    <w:unhideWhenUsed/>
    <w:rsid w:val="00B70449"/>
    <w:rPr>
      <w:sz w:val="20"/>
      <w:szCs w:val="20"/>
    </w:rPr>
  </w:style>
  <w:style w:type="character" w:customStyle="1" w:styleId="CommentTextChar">
    <w:name w:val="Comment Text Char"/>
    <w:basedOn w:val="DefaultParagraphFont"/>
    <w:link w:val="CommentText"/>
    <w:uiPriority w:val="99"/>
    <w:semiHidden/>
    <w:rsid w:val="00B70449"/>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B70449"/>
    <w:rPr>
      <w:b/>
      <w:bCs/>
    </w:rPr>
  </w:style>
  <w:style w:type="character" w:customStyle="1" w:styleId="CommentSubjectChar">
    <w:name w:val="Comment Subject Char"/>
    <w:basedOn w:val="CommentTextChar"/>
    <w:link w:val="CommentSubject"/>
    <w:uiPriority w:val="99"/>
    <w:semiHidden/>
    <w:rsid w:val="00B70449"/>
    <w:rPr>
      <w:rFonts w:eastAsiaTheme="minorHAns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974</Words>
  <Characters>5556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Carlton</dc:creator>
  <cp:keywords/>
  <dc:description/>
  <cp:lastModifiedBy>Philip Powell</cp:lastModifiedBy>
  <cp:revision>2</cp:revision>
  <dcterms:created xsi:type="dcterms:W3CDTF">2023-06-05T13:08:00Z</dcterms:created>
  <dcterms:modified xsi:type="dcterms:W3CDTF">2023-06-05T13:08:00Z</dcterms:modified>
</cp:coreProperties>
</file>