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C70C7" w14:textId="77777777" w:rsidR="008D3D54" w:rsidRPr="00417375" w:rsidRDefault="008D3D54" w:rsidP="008D3D54">
      <w:pPr>
        <w:pStyle w:val="Title"/>
      </w:pPr>
      <w:r>
        <w:t>Truss bridge under dynamic loading</w:t>
      </w:r>
    </w:p>
    <w:p w14:paraId="559F60C7" w14:textId="77777777" w:rsidR="008D3D54" w:rsidRDefault="008D3D54" w:rsidP="008D3D54">
      <w:pPr>
        <w:pStyle w:val="Subtitle"/>
      </w:pPr>
      <w:r>
        <w:t>A dataset containing the reaction of a laboratory-scale truss bridge to dynamic loading</w:t>
      </w:r>
    </w:p>
    <w:p w14:paraId="5E508E01" w14:textId="77777777" w:rsidR="008D3D54" w:rsidRDefault="008D3D54" w:rsidP="008D3D54">
      <w:pPr>
        <w:pStyle w:val="Heading1"/>
      </w:pPr>
      <w:r>
        <w:t>Introduction</w:t>
      </w:r>
    </w:p>
    <w:p w14:paraId="5364A2CA" w14:textId="4BDAF6E2" w:rsidR="008D3D54" w:rsidRPr="008D3D54" w:rsidRDefault="008D3D54" w:rsidP="008D3D54">
      <w:r w:rsidRPr="00417375">
        <w:t xml:space="preserve">This </w:t>
      </w:r>
      <w:r>
        <w:t xml:space="preserve">dataset </w:t>
      </w:r>
      <w:r w:rsidRPr="00417375">
        <w:t xml:space="preserve">is designed to identify the </w:t>
      </w:r>
      <w:r>
        <w:t>response of a truss bridge</w:t>
      </w:r>
      <w:r w:rsidRPr="00417375">
        <w:t xml:space="preserve"> when </w:t>
      </w:r>
      <w:r>
        <w:t>subjected to dynamic forces</w:t>
      </w:r>
      <w:r w:rsidRPr="00417375">
        <w:t>.</w:t>
      </w:r>
      <w:r>
        <w:t xml:space="preserve"> The bridge was excited across various damage scenarios, and the effect of detaching and reattaching a single strut was also assessed. The tests were carried out at the Laboratory for Verification and Validation </w:t>
      </w:r>
      <w:r w:rsidR="001274EB">
        <w:t xml:space="preserve">(LVV) </w:t>
      </w:r>
      <w:r>
        <w:t>at the University of Sheffield</w:t>
      </w:r>
      <w:r w:rsidR="009225EC">
        <w:t>.</w:t>
      </w:r>
      <w:bookmarkStart w:id="0" w:name="_GoBack"/>
      <w:bookmarkEnd w:id="0"/>
    </w:p>
    <w:p w14:paraId="56C604D6" w14:textId="77777777" w:rsidR="008D3D54" w:rsidRDefault="008D3D54" w:rsidP="008D3D54">
      <w:pPr>
        <w:pStyle w:val="Heading1"/>
        <w:jc w:val="center"/>
      </w:pPr>
      <w:r>
        <w:rPr>
          <w:noProof/>
        </w:rPr>
        <w:drawing>
          <wp:inline distT="0" distB="0" distL="0" distR="0" wp14:anchorId="776F4CF8" wp14:editId="03E8C1F4">
            <wp:extent cx="5731510" cy="4298950"/>
            <wp:effectExtent l="0" t="0" r="0" b="6350"/>
            <wp:docPr id="1" name="Picture 1" descr="A person working on a machin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erson working on a machine&#10;&#10;Description automatically generated with low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1510" cy="4298950"/>
                    </a:xfrm>
                    <a:prstGeom prst="rect">
                      <a:avLst/>
                    </a:prstGeom>
                  </pic:spPr>
                </pic:pic>
              </a:graphicData>
            </a:graphic>
          </wp:inline>
        </w:drawing>
      </w:r>
    </w:p>
    <w:p w14:paraId="05B45D56" w14:textId="33956E78" w:rsidR="008D3D54" w:rsidRDefault="008D3D54" w:rsidP="008D3D54">
      <w:pPr>
        <w:pStyle w:val="Caption"/>
      </w:pPr>
      <w:bookmarkStart w:id="1" w:name="_Ref103678604"/>
      <w:r>
        <w:t xml:space="preserve">Figure </w:t>
      </w:r>
      <w:r w:rsidR="00716CDA">
        <w:fldChar w:fldCharType="begin"/>
      </w:r>
      <w:r w:rsidR="00716CDA">
        <w:instrText xml:space="preserve"> SEQ Figure \* ARABIC </w:instrText>
      </w:r>
      <w:r w:rsidR="00716CDA">
        <w:fldChar w:fldCharType="separate"/>
      </w:r>
      <w:r w:rsidR="0075336B">
        <w:rPr>
          <w:noProof/>
        </w:rPr>
        <w:t>1</w:t>
      </w:r>
      <w:r w:rsidR="00716CDA">
        <w:rPr>
          <w:noProof/>
        </w:rPr>
        <w:fldChar w:fldCharType="end"/>
      </w:r>
      <w:bookmarkEnd w:id="1"/>
      <w:r>
        <w:rPr>
          <w:noProof/>
        </w:rPr>
        <w:t xml:space="preserve">: The bridge set up for testing at the </w:t>
      </w:r>
      <w:r w:rsidR="001274EB">
        <w:rPr>
          <w:noProof/>
        </w:rPr>
        <w:t>LVV</w:t>
      </w:r>
    </w:p>
    <w:p w14:paraId="2CDF7B94" w14:textId="38E72C2C" w:rsidR="00106696" w:rsidRDefault="008D3D54" w:rsidP="008D3D54">
      <w:r>
        <w:t>This suite of tests follows up and builds on the tests carried out by Rob Barthorpe, Paul Gardner and Aidan Hughes in September 2019</w:t>
      </w:r>
      <w:r w:rsidR="006347CD">
        <w:t xml:space="preserve"> </w:t>
      </w:r>
      <w:sdt>
        <w:sdtPr>
          <w:id w:val="17831944"/>
          <w:citation/>
        </w:sdtPr>
        <w:sdtEndPr/>
        <w:sdtContent>
          <w:r w:rsidR="006347CD">
            <w:fldChar w:fldCharType="begin"/>
          </w:r>
          <w:r w:rsidR="006347CD">
            <w:instrText xml:space="preserve"> CITATION Bar22 \l 2057 </w:instrText>
          </w:r>
          <w:r w:rsidR="006347CD">
            <w:fldChar w:fldCharType="separate"/>
          </w:r>
          <w:r w:rsidR="0075336B">
            <w:rPr>
              <w:noProof/>
            </w:rPr>
            <w:t>[1]</w:t>
          </w:r>
          <w:r w:rsidR="006347CD">
            <w:fldChar w:fldCharType="end"/>
          </w:r>
        </w:sdtContent>
      </w:sdt>
      <w:r>
        <w:t xml:space="preserve">, following similar methodology to acquire healthy and damaged-state data from the bridge structure shown in </w:t>
      </w:r>
      <w:r>
        <w:fldChar w:fldCharType="begin"/>
      </w:r>
      <w:r>
        <w:instrText xml:space="preserve"> REF _Ref103678604 \h </w:instrText>
      </w:r>
      <w:r>
        <w:fldChar w:fldCharType="separate"/>
      </w:r>
      <w:r w:rsidR="0075336B">
        <w:t xml:space="preserve">Figure </w:t>
      </w:r>
      <w:r w:rsidR="0075336B">
        <w:rPr>
          <w:noProof/>
        </w:rPr>
        <w:t>1</w:t>
      </w:r>
      <w:r>
        <w:fldChar w:fldCharType="end"/>
      </w:r>
      <w:r>
        <w:t>.</w:t>
      </w:r>
      <w:r w:rsidR="00C84266">
        <w:t xml:space="preserve"> </w:t>
      </w:r>
      <w:r w:rsidR="00106696">
        <w:t xml:space="preserve">Similar tests were carried out in the present study, with the addition of a test to identify the impact of boundary condition uncertainty on the results. </w:t>
      </w:r>
    </w:p>
    <w:p w14:paraId="3E3D1B81" w14:textId="42CFC765" w:rsidR="008D3D54" w:rsidRDefault="008D3D54" w:rsidP="008D3D54">
      <w:r>
        <w:t xml:space="preserve">The tests were carried out in two phases. The first phase entailed a roving hammer tap test in order to identify the mode shapes of the structure under excitation in its nominal, undamaged state. The second phase entailed </w:t>
      </w:r>
      <w:r w:rsidR="00106696">
        <w:t>hammer</w:t>
      </w:r>
      <w:r>
        <w:t xml:space="preserve">-excited damage-state testing to identify the effect that increasing damage had on the </w:t>
      </w:r>
      <w:r w:rsidR="00106696">
        <w:t>response</w:t>
      </w:r>
      <w:r>
        <w:t xml:space="preserve"> of the structure. Damage was introduced by saw cut to the mid-point of </w:t>
      </w:r>
      <w:r w:rsidR="00106696">
        <w:t xml:space="preserve">the struts that </w:t>
      </w:r>
      <w:r w:rsidR="00106696">
        <w:lastRenderedPageBreak/>
        <w:t xml:space="preserve">were symmetrically ‘unique’ in the structure, i.e. the two diagonal and vertical struts located in one ‘corner’ of the bridge – these were the four struts in the far corner in </w:t>
      </w:r>
      <w:r w:rsidR="00106696">
        <w:fldChar w:fldCharType="begin"/>
      </w:r>
      <w:r w:rsidR="00106696">
        <w:instrText xml:space="preserve"> REF _Ref103678604 \h </w:instrText>
      </w:r>
      <w:r w:rsidR="00106696">
        <w:fldChar w:fldCharType="separate"/>
      </w:r>
      <w:r w:rsidR="0075336B">
        <w:t xml:space="preserve">Figure </w:t>
      </w:r>
      <w:r w:rsidR="0075336B">
        <w:rPr>
          <w:noProof/>
        </w:rPr>
        <w:t>1</w:t>
      </w:r>
      <w:r w:rsidR="00106696">
        <w:fldChar w:fldCharType="end"/>
      </w:r>
      <w:r w:rsidR="00106696">
        <w:t>, closest to the laptop. Damage was introduced</w:t>
      </w:r>
      <w:r>
        <w:t xml:space="preserve"> at 2.5mm intervals up to 17.5mm, at which point the strut was replaced before commencing the test on the next strut.</w:t>
      </w:r>
      <w:r w:rsidR="00106696">
        <w:t xml:space="preserve"> D</w:t>
      </w:r>
      <w:r>
        <w:t xml:space="preserve">ue to the lines of symmetry of the structure in the </w:t>
      </w:r>
      <w:r>
        <w:rPr>
          <w:i/>
          <w:iCs/>
        </w:rPr>
        <w:t>x-</w:t>
      </w:r>
      <w:r>
        <w:t xml:space="preserve"> and </w:t>
      </w:r>
      <w:r>
        <w:rPr>
          <w:i/>
          <w:iCs/>
        </w:rPr>
        <w:t>z-</w:t>
      </w:r>
      <w:r>
        <w:t>directions, damage in any individual strut would</w:t>
      </w:r>
      <w:r w:rsidR="00106C4C">
        <w:t xml:space="preserve"> be expected to</w:t>
      </w:r>
      <w:r>
        <w:t xml:space="preserve"> result in a similar effect on the response as these.</w:t>
      </w:r>
    </w:p>
    <w:p w14:paraId="04EBD3B6" w14:textId="77777777" w:rsidR="00F309C9" w:rsidRDefault="00F309C9" w:rsidP="00F309C9">
      <w:pPr>
        <w:pStyle w:val="Heading1"/>
      </w:pPr>
      <w:r>
        <w:t>Bridge geometry</w:t>
      </w:r>
    </w:p>
    <w:p w14:paraId="4BCB41AF" w14:textId="16763BF2" w:rsidR="00F309C9" w:rsidRPr="00B41310" w:rsidRDefault="00F309C9" w:rsidP="00F309C9">
      <w:r w:rsidRPr="00B41310">
        <w:t>The structure of interest is a laboratory-scale truss bridge, shown in</w:t>
      </w:r>
      <w:r>
        <w:t xml:space="preserve"> </w:t>
      </w:r>
      <w:r w:rsidR="0075336B">
        <w:fldChar w:fldCharType="begin"/>
      </w:r>
      <w:r w:rsidR="0075336B">
        <w:instrText xml:space="preserve"> REF _Ref103678604 \h </w:instrText>
      </w:r>
      <w:r w:rsidR="0075336B">
        <w:fldChar w:fldCharType="separate"/>
      </w:r>
      <w:r w:rsidR="0075336B">
        <w:t xml:space="preserve">Figure </w:t>
      </w:r>
      <w:r w:rsidR="0075336B">
        <w:rPr>
          <w:noProof/>
        </w:rPr>
        <w:t>1</w:t>
      </w:r>
      <w:r w:rsidR="0075336B">
        <w:fldChar w:fldCharType="end"/>
      </w:r>
      <w:r w:rsidRPr="00B41310">
        <w:t>, which was constructed at the Laboratory for Verification and Validation</w:t>
      </w:r>
      <w:r>
        <w:t xml:space="preserve"> (LVV) in Sheffield.</w:t>
      </w:r>
      <w:r w:rsidR="0075336B">
        <w:t xml:space="preserve"> </w:t>
      </w:r>
      <w:r w:rsidRPr="00B41310">
        <w:t>The bridge is a truss bridge of standard design, and it can be compared to many real-li</w:t>
      </w:r>
      <w:r w:rsidR="0075336B">
        <w:t>fe structures around the world.</w:t>
      </w:r>
    </w:p>
    <w:p w14:paraId="4FA3BBA7" w14:textId="77777777" w:rsidR="00F309C9" w:rsidRDefault="00F309C9" w:rsidP="00F309C9">
      <w:pPr>
        <w:keepNext/>
        <w:jc w:val="center"/>
      </w:pPr>
      <w:r w:rsidRPr="009C1C9A">
        <w:rPr>
          <w:noProof/>
        </w:rPr>
        <w:drawing>
          <wp:inline distT="0" distB="0" distL="0" distR="0" wp14:anchorId="14477C17" wp14:editId="15702C97">
            <wp:extent cx="5731510" cy="3710305"/>
            <wp:effectExtent l="0" t="0" r="254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3710305"/>
                    </a:xfrm>
                    <a:prstGeom prst="rect">
                      <a:avLst/>
                    </a:prstGeom>
                  </pic:spPr>
                </pic:pic>
              </a:graphicData>
            </a:graphic>
          </wp:inline>
        </w:drawing>
      </w:r>
    </w:p>
    <w:p w14:paraId="5762D0C8" w14:textId="5581BF94" w:rsidR="00F309C9" w:rsidRDefault="00F309C9" w:rsidP="00F309C9">
      <w:pPr>
        <w:pStyle w:val="Caption"/>
      </w:pPr>
      <w:bookmarkStart w:id="2" w:name="_Ref150331834"/>
      <w:r>
        <w:t xml:space="preserve">Figure </w:t>
      </w:r>
      <w:r w:rsidR="00716CDA">
        <w:fldChar w:fldCharType="begin"/>
      </w:r>
      <w:r w:rsidR="00716CDA">
        <w:instrText xml:space="preserve"> SEQ Figure </w:instrText>
      </w:r>
      <w:r w:rsidR="00716CDA">
        <w:instrText xml:space="preserve">\* ARABIC </w:instrText>
      </w:r>
      <w:r w:rsidR="00716CDA">
        <w:fldChar w:fldCharType="separate"/>
      </w:r>
      <w:r w:rsidR="0075336B">
        <w:rPr>
          <w:noProof/>
        </w:rPr>
        <w:t>2</w:t>
      </w:r>
      <w:r w:rsidR="00716CDA">
        <w:rPr>
          <w:noProof/>
        </w:rPr>
        <w:fldChar w:fldCharType="end"/>
      </w:r>
      <w:bookmarkEnd w:id="2"/>
      <w:r>
        <w:t xml:space="preserve">: </w:t>
      </w:r>
      <w:r w:rsidRPr="00B41310">
        <w:t>A schematic of the bridge structure with key dimensions marked</w:t>
      </w:r>
    </w:p>
    <w:p w14:paraId="07EF5DBD" w14:textId="4A908804" w:rsidR="00F309C9" w:rsidRPr="006013B2" w:rsidRDefault="00F309C9" w:rsidP="008D3D54">
      <w:r w:rsidRPr="00B41310">
        <w:t xml:space="preserve">The bridge is 700mm in height, 390mm in width and 2908mm in length; see </w:t>
      </w:r>
      <w:r w:rsidR="0075336B">
        <w:fldChar w:fldCharType="begin"/>
      </w:r>
      <w:r w:rsidR="0075336B">
        <w:instrText xml:space="preserve"> REF _Ref150331834 \h </w:instrText>
      </w:r>
      <w:r w:rsidR="0075336B">
        <w:fldChar w:fldCharType="separate"/>
      </w:r>
      <w:r w:rsidR="0075336B">
        <w:t xml:space="preserve">Figure </w:t>
      </w:r>
      <w:r w:rsidR="0075336B">
        <w:rPr>
          <w:noProof/>
        </w:rPr>
        <w:t>2</w:t>
      </w:r>
      <w:r w:rsidR="0075336B">
        <w:fldChar w:fldCharType="end"/>
      </w:r>
      <w:r w:rsidR="0075336B">
        <w:t xml:space="preserve">. </w:t>
      </w:r>
      <w:r w:rsidRPr="00B41310">
        <w:t>The struts and deck are cut from aluminium plate of 4mm and 3mm depth respectively. The longer, diagonal, struts are 1006.52mm in length and the shorter, vertical, struts are 700mm in length; both are 20mm in height. The deck border and upper frame are constructed from alumi</w:t>
      </w:r>
      <w:r>
        <w:t>n</w:t>
      </w:r>
      <w:r w:rsidRPr="00B41310">
        <w:t>ium Rexroth, which is of 20mm in depth and height; the upper frame is of 1500mm in length. The deck is of 390mm width and 2908mm length, which are the same as the bridge as a whole.</w:t>
      </w:r>
    </w:p>
    <w:p w14:paraId="4F6B4252" w14:textId="77777777" w:rsidR="008D3D54" w:rsidRDefault="008D3D54" w:rsidP="008D3D54">
      <w:pPr>
        <w:pStyle w:val="Heading1"/>
      </w:pPr>
      <w:r>
        <w:t>Methodology</w:t>
      </w:r>
    </w:p>
    <w:p w14:paraId="60DC2CB0" w14:textId="77777777" w:rsidR="008D3D54" w:rsidRDefault="008D3D54" w:rsidP="008D3D54">
      <w:pPr>
        <w:pStyle w:val="Heading2"/>
      </w:pPr>
      <w:r>
        <w:t>Healthy state tap-testing</w:t>
      </w:r>
    </w:p>
    <w:p w14:paraId="7E51E261" w14:textId="77777777" w:rsidR="00A144B0" w:rsidRDefault="008D3D54" w:rsidP="00A144B0">
      <w:r>
        <w:t>Tap testing was used to identify the mode shapes for the lower modes of the bridge structure using the roving hammer method. This allowed for a large number of test points to be used without adding many accelerometers, which could impact the dynamic response of the structure.</w:t>
      </w:r>
      <w:r w:rsidR="00A144B0">
        <w:t xml:space="preserve"> The make and type of the hammer were </w:t>
      </w:r>
      <w:r w:rsidR="00A144B0" w:rsidRPr="00134AA8">
        <w:t>PCB Piezotronics, model 086C03</w:t>
      </w:r>
      <w:r w:rsidR="00A144B0">
        <w:t>.</w:t>
      </w:r>
    </w:p>
    <w:p w14:paraId="403D90A7" w14:textId="2D00973C" w:rsidR="00A144B0" w:rsidRDefault="008D3D54" w:rsidP="00A144B0">
      <w:r>
        <w:lastRenderedPageBreak/>
        <w:t>Prior to testing, the ambient temperature was measured at 17</w:t>
      </w:r>
      <w:r w:rsidRPr="00F25EF7">
        <w:rPr>
          <w:vertAlign w:val="superscript"/>
        </w:rPr>
        <w:t>o</w:t>
      </w:r>
      <w:r>
        <w:t>C using a local digital thermometer in the vicinity of the bridge – this remained constant throughout the test period. The bolts that fixed the struts to the bridge deck and Rexroth were tightened using a torque wrench to 8Nm.</w:t>
      </w:r>
      <w:r w:rsidR="00A144B0">
        <w:t xml:space="preserve"> </w:t>
      </w:r>
    </w:p>
    <w:p w14:paraId="682AFB07" w14:textId="752141D7" w:rsidR="008D3D54" w:rsidRDefault="008D3D54" w:rsidP="008D3D54">
      <w:r>
        <w:t xml:space="preserve">A triaxial accelerometer was used to record the response of the bridge to the impacts. This was attached to the Rexroth on the upper frame of the bridge, as the mobility of the structure was significant in that location, and many of the lower natural frequencies had mode shapes which involved displacement of this part of the structure. The accelerometer was fixed to the upper Rexroth on the near side of the bridge, between the first two joints in the </w:t>
      </w:r>
      <w:r w:rsidRPr="00F25EF7">
        <w:rPr>
          <w:i/>
        </w:rPr>
        <w:t>x</w:t>
      </w:r>
      <w:r>
        <w:t>-direction</w:t>
      </w:r>
      <w:r w:rsidR="00A144B0">
        <w:t xml:space="preserve"> (see </w:t>
      </w:r>
      <w:r w:rsidR="00A144B0">
        <w:fldChar w:fldCharType="begin"/>
      </w:r>
      <w:r w:rsidR="00A144B0">
        <w:instrText xml:space="preserve"> REF _Ref103678604 \h </w:instrText>
      </w:r>
      <w:r w:rsidR="00A144B0">
        <w:fldChar w:fldCharType="separate"/>
      </w:r>
      <w:r w:rsidR="0075336B">
        <w:t xml:space="preserve">Figure </w:t>
      </w:r>
      <w:r w:rsidR="0075336B">
        <w:rPr>
          <w:noProof/>
        </w:rPr>
        <w:t>1</w:t>
      </w:r>
      <w:r w:rsidR="00A144B0">
        <w:fldChar w:fldCharType="end"/>
      </w:r>
      <w:r w:rsidR="00A144B0">
        <w:t>)</w:t>
      </w:r>
      <w:r>
        <w:t xml:space="preserve">. The make and type of accelerometer were </w:t>
      </w:r>
      <w:r w:rsidRPr="00134AA8">
        <w:t>PCB Piezotronics, model 356B21</w:t>
      </w:r>
      <w:r>
        <w:t xml:space="preserve">. </w:t>
      </w:r>
    </w:p>
    <w:p w14:paraId="53ED3C6B" w14:textId="506AD368" w:rsidR="008D3D54" w:rsidRPr="00134AA8" w:rsidRDefault="008D3D54" w:rsidP="000F220C">
      <w:r>
        <w:t>Five repeat impacts were carried out at each damage location in order to reduce the noise in the results through averaging.</w:t>
      </w:r>
      <w:r w:rsidRPr="00FF40FD">
        <w:t xml:space="preserve"> </w:t>
      </w:r>
      <w:r>
        <w:t xml:space="preserve">Additional pre-processing measures to increase the cleanliness of the data was carried out by windowing </w:t>
      </w:r>
      <w:r w:rsidR="000F220C">
        <w:t xml:space="preserve">(an exponential window was used) </w:t>
      </w:r>
      <w:r>
        <w:t>the recorded e</w:t>
      </w:r>
      <w:r w:rsidR="0057541B">
        <w:t>xcitation and response data</w:t>
      </w:r>
      <w:r>
        <w:t>.</w:t>
      </w:r>
    </w:p>
    <w:p w14:paraId="4F33BEE5" w14:textId="0121FE03" w:rsidR="008D3D54" w:rsidRDefault="008D3D54" w:rsidP="008D3D54">
      <w:r>
        <w:t xml:space="preserve">Data acquisition was performed using the </w:t>
      </w:r>
      <w:r w:rsidR="0057541B">
        <w:t xml:space="preserve">Siemens </w:t>
      </w:r>
      <w:r>
        <w:t xml:space="preserve">LMS system, with modal analysis carried out using the PolyMAX algorithm which uses a curvefitting method to isolate modal characteristics </w:t>
      </w:r>
      <w:r w:rsidR="002262D3">
        <w:t>each</w:t>
      </w:r>
      <w:r>
        <w:t xml:space="preserve"> recorded </w:t>
      </w:r>
      <w:r w:rsidR="00CE5768">
        <w:t>frequency response functions (</w:t>
      </w:r>
      <w:r w:rsidR="002262D3">
        <w:t>FRF</w:t>
      </w:r>
      <w:r w:rsidR="00CE5768">
        <w:t>)</w:t>
      </w:r>
      <w:r>
        <w:t>. The final chosen modes are to be extracted concurrently with the modes used in the damage-state testing to ensure compatibility between the two datasets.</w:t>
      </w:r>
    </w:p>
    <w:p w14:paraId="0F2F31DC" w14:textId="77777777" w:rsidR="008D3D54" w:rsidRPr="00483801" w:rsidRDefault="008D3D54" w:rsidP="008D3D54">
      <w:pPr>
        <w:pStyle w:val="Heading2"/>
      </w:pPr>
      <w:r>
        <w:t>Damaged-state shaker-testing</w:t>
      </w:r>
    </w:p>
    <w:p w14:paraId="4041783A" w14:textId="5C3D5C4F" w:rsidR="0057541B" w:rsidRDefault="0057541B" w:rsidP="0057541B">
      <w:pPr>
        <w:rPr>
          <w:rFonts w:eastAsiaTheme="minorHAnsi"/>
          <w:lang w:eastAsia="en-US"/>
        </w:rPr>
      </w:pPr>
      <w:r>
        <w:rPr>
          <w:rFonts w:eastAsiaTheme="minorHAnsi"/>
          <w:lang w:eastAsia="en-US"/>
        </w:rPr>
        <w:t>Tap tests were carried out on the bridge across a range of damage conditions using the same impact hammer as was used in the roving hammer testing.</w:t>
      </w:r>
      <w:r w:rsidR="008D3D54">
        <w:t xml:space="preserve"> A single tap location was used with multiple accelerometers attached in the </w:t>
      </w:r>
      <w:r w:rsidR="008D3D54">
        <w:rPr>
          <w:i/>
        </w:rPr>
        <w:t>y</w:t>
      </w:r>
      <w:r w:rsidR="008D3D54">
        <w:t xml:space="preserve">- and </w:t>
      </w:r>
      <w:r w:rsidR="008D3D54">
        <w:rPr>
          <w:i/>
        </w:rPr>
        <w:t>z</w:t>
      </w:r>
      <w:r w:rsidR="008D3D54">
        <w:t xml:space="preserve">-directions at each joint (see </w:t>
      </w:r>
      <w:r w:rsidR="008D3D54">
        <w:fldChar w:fldCharType="begin"/>
      </w:r>
      <w:r w:rsidR="008D3D54">
        <w:instrText xml:space="preserve"> REF _Ref103693714 \h </w:instrText>
      </w:r>
      <w:r>
        <w:instrText xml:space="preserve"> \* MERGEFORMAT </w:instrText>
      </w:r>
      <w:r w:rsidR="008D3D54">
        <w:fldChar w:fldCharType="separate"/>
      </w:r>
      <w:r w:rsidR="0075336B">
        <w:t xml:space="preserve">Figure </w:t>
      </w:r>
      <w:r w:rsidR="0075336B">
        <w:rPr>
          <w:noProof/>
        </w:rPr>
        <w:t>3</w:t>
      </w:r>
      <w:r w:rsidR="008D3D54">
        <w:fldChar w:fldCharType="end"/>
      </w:r>
      <w:r w:rsidR="008D3D54">
        <w:t>).</w:t>
      </w:r>
      <w:r w:rsidR="008D3D54" w:rsidRPr="004D6C8C">
        <w:t xml:space="preserve"> </w:t>
      </w:r>
      <w:r>
        <w:rPr>
          <w:rFonts w:eastAsiaTheme="minorHAnsi"/>
          <w:lang w:eastAsia="en-US"/>
        </w:rPr>
        <w:t>The accelerometers used were PCB Piezotronics 353B18s. As with the roving hammer tests, repeats and windowing were used to reduce the noise level in the recorded data.</w:t>
      </w:r>
    </w:p>
    <w:p w14:paraId="6E46E2FC" w14:textId="2982148A" w:rsidR="008D3D54" w:rsidRDefault="008D3D54" w:rsidP="0057541B">
      <w:r>
        <w:t>Prior to testing, the ambient temperature was measured at 17.3</w:t>
      </w:r>
      <w:r>
        <w:rPr>
          <w:vertAlign w:val="superscript"/>
        </w:rPr>
        <w:t>o</w:t>
      </w:r>
      <w:r>
        <w:t>C – this had increased to 17.4</w:t>
      </w:r>
      <w:r>
        <w:rPr>
          <w:vertAlign w:val="superscript"/>
        </w:rPr>
        <w:t>o</w:t>
      </w:r>
      <w:r>
        <w:t>C by the end of the damage tests and remained constant at this temperature during the BC tests. The bolts that fixed the struts to the bridge deck and Rexroth were tightened using a torque wrench to 8Nm.</w:t>
      </w:r>
      <w:r w:rsidR="0057541B" w:rsidRPr="0057541B">
        <w:rPr>
          <w:rFonts w:eastAsiaTheme="minorHAnsi"/>
          <w:lang w:eastAsia="en-US"/>
        </w:rPr>
        <w:t xml:space="preserve"> </w:t>
      </w:r>
      <w:r w:rsidR="0057541B">
        <w:rPr>
          <w:rFonts w:eastAsiaTheme="minorHAnsi"/>
          <w:lang w:eastAsia="en-US"/>
        </w:rPr>
        <w:t>The same measured spectrum was used as for the roving hammer tests and the same feature extraction method was used to acquire the modal data from the recorded FRFs.</w:t>
      </w:r>
    </w:p>
    <w:p w14:paraId="6002A4A8" w14:textId="73D9F1BB" w:rsidR="0057541B" w:rsidRDefault="0057541B" w:rsidP="0057541B">
      <w:r>
        <w:t xml:space="preserve">Damage was introduced to struts 1, 2, 5 and 6 by saw cut at the midpoint at 2.5mm intervals, up to a maximum ‘crack’ depth of 17.5mm. When each damage run was completed the strut of interest was replaced with a new strut. The damage locations and tap location are illustrated in </w:t>
      </w:r>
      <w:r>
        <w:fldChar w:fldCharType="begin"/>
      </w:r>
      <w:r>
        <w:instrText xml:space="preserve"> REF _Ref103693714 \h </w:instrText>
      </w:r>
      <w:r>
        <w:fldChar w:fldCharType="separate"/>
      </w:r>
      <w:r w:rsidR="0075336B">
        <w:t xml:space="preserve">Figure </w:t>
      </w:r>
      <w:r w:rsidR="0075336B">
        <w:rPr>
          <w:noProof/>
        </w:rPr>
        <w:t>3</w:t>
      </w:r>
      <w:r>
        <w:fldChar w:fldCharType="end"/>
      </w:r>
      <w:r>
        <w:t>.</w:t>
      </w:r>
    </w:p>
    <w:p w14:paraId="0B29ED00" w14:textId="1BC21850" w:rsidR="008D3D54" w:rsidRDefault="00D226AF" w:rsidP="008D3D54">
      <w:pPr>
        <w:keepNext/>
        <w:jc w:val="center"/>
      </w:pPr>
      <w:r w:rsidRPr="00D226AF">
        <w:rPr>
          <w:noProof/>
        </w:rPr>
        <w:lastRenderedPageBreak/>
        <w:drawing>
          <wp:inline distT="0" distB="0" distL="0" distR="0" wp14:anchorId="002B7521" wp14:editId="5CC96A85">
            <wp:extent cx="5731510" cy="3192780"/>
            <wp:effectExtent l="0" t="0" r="254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3192780"/>
                    </a:xfrm>
                    <a:prstGeom prst="rect">
                      <a:avLst/>
                    </a:prstGeom>
                  </pic:spPr>
                </pic:pic>
              </a:graphicData>
            </a:graphic>
          </wp:inline>
        </w:drawing>
      </w:r>
    </w:p>
    <w:p w14:paraId="6275DAA3" w14:textId="1CF27CA5" w:rsidR="008D3D54" w:rsidRPr="00104B2B" w:rsidRDefault="008D3D54" w:rsidP="008D3D54">
      <w:pPr>
        <w:pStyle w:val="Caption"/>
        <w:rPr>
          <w:rFonts w:ascii="Times New Roman" w:hAnsi="Times New Roman"/>
        </w:rPr>
      </w:pPr>
      <w:bookmarkStart w:id="3" w:name="_Ref103693714"/>
      <w:r>
        <w:t xml:space="preserve">Figure </w:t>
      </w:r>
      <w:r w:rsidR="00716CDA">
        <w:fldChar w:fldCharType="begin"/>
      </w:r>
      <w:r w:rsidR="00716CDA">
        <w:instrText xml:space="preserve"> SEQ Figure \* ARABIC </w:instrText>
      </w:r>
      <w:r w:rsidR="00716CDA">
        <w:fldChar w:fldCharType="separate"/>
      </w:r>
      <w:r w:rsidR="0075336B">
        <w:rPr>
          <w:noProof/>
        </w:rPr>
        <w:t>3</w:t>
      </w:r>
      <w:r w:rsidR="00716CDA">
        <w:rPr>
          <w:noProof/>
        </w:rPr>
        <w:fldChar w:fldCharType="end"/>
      </w:r>
      <w:bookmarkEnd w:id="3"/>
      <w:r>
        <w:t>: A schematic of the bridge structure, with damage locations marked in red, tap location in green and accelerometer locations marked in blue</w:t>
      </w:r>
    </w:p>
    <w:p w14:paraId="774A57FF" w14:textId="77777777" w:rsidR="008D3D54" w:rsidRDefault="008D3D54" w:rsidP="008D3D54">
      <w:pPr>
        <w:pStyle w:val="Heading2"/>
      </w:pPr>
      <w:r>
        <w:t>Healthy-state boundary condition investigation</w:t>
      </w:r>
    </w:p>
    <w:p w14:paraId="7A1EC04D" w14:textId="77777777" w:rsidR="008D3D54" w:rsidRDefault="008D3D54" w:rsidP="008D3D54">
      <w:r>
        <w:t>In the boundary condition testing, strut 1 was removed and reattached three times, with tap tests carried out following each reattachment. This was in order to assess the uncertainty caused by the boundary conditions, which are not captured in the model. The methodology was otherwise the same as for the damage state testing, described above.</w:t>
      </w:r>
    </w:p>
    <w:p w14:paraId="08C4551E" w14:textId="73BC7E04" w:rsidR="008D3D54" w:rsidRDefault="008D3D54" w:rsidP="008D3D54">
      <w:pPr>
        <w:pStyle w:val="Heading1"/>
      </w:pPr>
      <w:r>
        <w:t>Results</w:t>
      </w:r>
    </w:p>
    <w:p w14:paraId="2CA06747" w14:textId="2AAAE61B" w:rsidR="0057541B" w:rsidRDefault="0057541B" w:rsidP="0057541B">
      <w:pPr>
        <w:rPr>
          <w:rFonts w:eastAsiaTheme="minorHAnsi"/>
          <w:lang w:eastAsia="en-US"/>
        </w:rPr>
      </w:pPr>
      <w:r>
        <w:t xml:space="preserve">FRFs and power spectral densities were recorded for each test. The modal results were extracted using the PolyMAX curvefitting algorithm. </w:t>
      </w:r>
      <w:r>
        <w:rPr>
          <w:rFonts w:eastAsiaTheme="minorHAnsi"/>
          <w:lang w:eastAsia="en-US"/>
        </w:rPr>
        <w:t xml:space="preserve">This method utilises a numerical approach to isolate the natural frequencies, damping ratios and mode shapes from manually selected resonance peaks on the FRFs. The key parameters guiding this process are the tolerances set for the natural frequencies, damping ratios and mode shape vectors for each peak, the maximum number of </w:t>
      </w:r>
      <w:r w:rsidR="00813393">
        <w:rPr>
          <w:rFonts w:eastAsiaTheme="minorHAnsi"/>
          <w:lang w:eastAsia="en-US"/>
        </w:rPr>
        <w:t>degrees-of-freedom</w:t>
      </w:r>
      <w:r>
        <w:rPr>
          <w:rFonts w:eastAsiaTheme="minorHAnsi"/>
          <w:lang w:eastAsia="en-US"/>
        </w:rPr>
        <w:t xml:space="preserve"> allocated to the curve fit and engineering judgement. These tolerances describe the stability of a modal fit for a given resonance peak, where the solution would be considered stable if it was within each tolerance criterion when compared to the solution with one fewer </w:t>
      </w:r>
      <w:r w:rsidR="00813393">
        <w:rPr>
          <w:rFonts w:eastAsiaTheme="minorHAnsi"/>
          <w:lang w:eastAsia="en-US"/>
        </w:rPr>
        <w:t>degree-of-freedom</w:t>
      </w:r>
      <w:r>
        <w:rPr>
          <w:rFonts w:eastAsiaTheme="minorHAnsi"/>
          <w:lang w:eastAsia="en-US"/>
        </w:rPr>
        <w:t>. The tolerances set for this analysis were 0.1% for the frequency, 5% for the</w:t>
      </w:r>
      <w:r w:rsidR="007B7862">
        <w:rPr>
          <w:rFonts w:eastAsiaTheme="minorHAnsi"/>
          <w:lang w:eastAsia="en-US"/>
        </w:rPr>
        <w:t xml:space="preserve"> </w:t>
      </w:r>
      <w:r>
        <w:rPr>
          <w:rFonts w:eastAsiaTheme="minorHAnsi"/>
          <w:lang w:eastAsia="en-US"/>
        </w:rPr>
        <w:t xml:space="preserve">damping ratio and 0.5% for the mode shape. </w:t>
      </w:r>
    </w:p>
    <w:p w14:paraId="2286BE27" w14:textId="04421C14" w:rsidR="0057541B" w:rsidRDefault="0057541B" w:rsidP="0057541B">
      <w:pPr>
        <w:rPr>
          <w:rFonts w:eastAsiaTheme="minorHAnsi"/>
          <w:lang w:eastAsia="en-US"/>
        </w:rPr>
      </w:pPr>
      <w:r>
        <w:rPr>
          <w:rFonts w:eastAsiaTheme="minorHAnsi"/>
          <w:lang w:eastAsia="en-US"/>
        </w:rPr>
        <w:t>Following feature extraction, the datasets were matched to each other using the natural</w:t>
      </w:r>
      <w:r w:rsidR="007B7862">
        <w:rPr>
          <w:rFonts w:eastAsiaTheme="minorHAnsi"/>
          <w:lang w:eastAsia="en-US"/>
        </w:rPr>
        <w:t xml:space="preserve"> </w:t>
      </w:r>
      <w:r>
        <w:rPr>
          <w:rFonts w:eastAsiaTheme="minorHAnsi"/>
          <w:lang w:eastAsia="en-US"/>
        </w:rPr>
        <w:t>frequency values, which resulted in an experimental dataset of 18 natural frequencies</w:t>
      </w:r>
      <w:r w:rsidR="007B7862">
        <w:rPr>
          <w:rFonts w:eastAsiaTheme="minorHAnsi"/>
          <w:lang w:eastAsia="en-US"/>
        </w:rPr>
        <w:t xml:space="preserve"> </w:t>
      </w:r>
      <w:r>
        <w:rPr>
          <w:rFonts w:eastAsiaTheme="minorHAnsi"/>
          <w:lang w:eastAsia="en-US"/>
        </w:rPr>
        <w:t>for each test. These are plotted as features across the full range of damage</w:t>
      </w:r>
      <w:r w:rsidR="007B7862">
        <w:rPr>
          <w:rFonts w:eastAsiaTheme="minorHAnsi"/>
          <w:lang w:eastAsia="en-US"/>
        </w:rPr>
        <w:t xml:space="preserve"> </w:t>
      </w:r>
      <w:r>
        <w:rPr>
          <w:rFonts w:eastAsiaTheme="minorHAnsi"/>
          <w:lang w:eastAsia="en-US"/>
        </w:rPr>
        <w:t>for each strut in Figure 5.6; this figure shows that, of the extracted features, some</w:t>
      </w:r>
      <w:r w:rsidR="007B7862">
        <w:rPr>
          <w:rFonts w:eastAsiaTheme="minorHAnsi"/>
          <w:lang w:eastAsia="en-US"/>
        </w:rPr>
        <w:t xml:space="preserve"> </w:t>
      </w:r>
      <w:r>
        <w:rPr>
          <w:rFonts w:eastAsiaTheme="minorHAnsi"/>
          <w:lang w:eastAsia="en-US"/>
        </w:rPr>
        <w:t>are sensitive to damage but others are relatively insensitive – this indicates the requirement</w:t>
      </w:r>
      <w:r w:rsidR="007B7862">
        <w:rPr>
          <w:rFonts w:eastAsiaTheme="minorHAnsi"/>
          <w:lang w:eastAsia="en-US"/>
        </w:rPr>
        <w:t xml:space="preserve"> </w:t>
      </w:r>
      <w:r>
        <w:rPr>
          <w:rFonts w:eastAsiaTheme="minorHAnsi"/>
          <w:lang w:eastAsia="en-US"/>
        </w:rPr>
        <w:t>for further feature selection activities. The plotted feature is proportional</w:t>
      </w:r>
      <w:r w:rsidR="007B7862">
        <w:rPr>
          <w:rFonts w:eastAsiaTheme="minorHAnsi"/>
          <w:lang w:eastAsia="en-US"/>
        </w:rPr>
        <w:t xml:space="preserve"> </w:t>
      </w:r>
      <w:r>
        <w:rPr>
          <w:rFonts w:eastAsiaTheme="minorHAnsi"/>
          <w:lang w:eastAsia="en-US"/>
        </w:rPr>
        <w:t>deviation from the undamaged natural frequency for each mode to allow comparison</w:t>
      </w:r>
      <w:r w:rsidR="007B7862">
        <w:rPr>
          <w:rFonts w:eastAsiaTheme="minorHAnsi"/>
          <w:lang w:eastAsia="en-US"/>
        </w:rPr>
        <w:t xml:space="preserve"> </w:t>
      </w:r>
      <w:r>
        <w:rPr>
          <w:rFonts w:eastAsiaTheme="minorHAnsi"/>
          <w:lang w:eastAsia="en-US"/>
        </w:rPr>
        <w:t>between different natural frequencies across the full range of damage.</w:t>
      </w:r>
    </w:p>
    <w:p w14:paraId="4C44EE92" w14:textId="77777777" w:rsidR="007B7862" w:rsidRDefault="007B7862" w:rsidP="007B7862">
      <w:pPr>
        <w:pStyle w:val="Heading1"/>
      </w:pPr>
      <w:r>
        <w:lastRenderedPageBreak/>
        <w:t>Format of dataset</w:t>
      </w:r>
    </w:p>
    <w:p w14:paraId="0B812964" w14:textId="77777777" w:rsidR="007B7862" w:rsidRPr="00417375" w:rsidRDefault="007B7862" w:rsidP="007B7862">
      <w:r>
        <w:t>The dataset is a structure containing:</w:t>
      </w:r>
    </w:p>
    <w:p w14:paraId="751D8657" w14:textId="3DA31525" w:rsidR="007B7862" w:rsidRDefault="006129C8" w:rsidP="007B7862">
      <w:pPr>
        <w:pStyle w:val="ListParagraph"/>
        <w:numPr>
          <w:ilvl w:val="0"/>
          <w:numId w:val="1"/>
        </w:numPr>
      </w:pPr>
      <w:r>
        <w:t>roving_hammer, containing substructures for the spectral and modal data</w:t>
      </w:r>
    </w:p>
    <w:p w14:paraId="346F0A67" w14:textId="7EA949E1" w:rsidR="006129C8" w:rsidRDefault="006129C8" w:rsidP="006129C8">
      <w:pPr>
        <w:pStyle w:val="ListParagraph"/>
        <w:numPr>
          <w:ilvl w:val="1"/>
          <w:numId w:val="1"/>
        </w:numPr>
      </w:pPr>
      <w:r>
        <w:t>modal contains the following:</w:t>
      </w:r>
    </w:p>
    <w:p w14:paraId="3F844BA0" w14:textId="7AE7E9A2" w:rsidR="006129C8" w:rsidRDefault="006129C8" w:rsidP="006129C8">
      <w:pPr>
        <w:pStyle w:val="ListParagraph"/>
        <w:numPr>
          <w:ilvl w:val="2"/>
          <w:numId w:val="1"/>
        </w:numPr>
      </w:pPr>
      <w:r>
        <w:t>geometry: an array containing the coordinates of the tap locations and the triaxial accelerometer on the bridge</w:t>
      </w:r>
    </w:p>
    <w:p w14:paraId="773BCD6E" w14:textId="2DC6E4B5" w:rsidR="007B7862" w:rsidRDefault="006129C8" w:rsidP="006129C8">
      <w:pPr>
        <w:pStyle w:val="ListParagraph"/>
        <w:numPr>
          <w:ilvl w:val="2"/>
          <w:numId w:val="1"/>
        </w:numPr>
      </w:pPr>
      <w:r>
        <w:t>fn: an array containing the extracted natural frequencies of the bridge</w:t>
      </w:r>
    </w:p>
    <w:p w14:paraId="3F9AC334" w14:textId="5885DAB7" w:rsidR="006129C8" w:rsidRDefault="006129C8" w:rsidP="006129C8">
      <w:pPr>
        <w:pStyle w:val="ListParagraph"/>
        <w:numPr>
          <w:ilvl w:val="2"/>
          <w:numId w:val="1"/>
        </w:numPr>
      </w:pPr>
      <w:r>
        <w:t>phi: a cell containing the extracted mode shapes of the bridge</w:t>
      </w:r>
    </w:p>
    <w:p w14:paraId="4240C952" w14:textId="352CABE5" w:rsidR="006129C8" w:rsidRDefault="006129C8" w:rsidP="006129C8">
      <w:pPr>
        <w:pStyle w:val="ListParagraph"/>
        <w:numPr>
          <w:ilvl w:val="1"/>
          <w:numId w:val="1"/>
        </w:numPr>
      </w:pPr>
      <w:r>
        <w:t>spectra contains the following for each tap location:</w:t>
      </w:r>
    </w:p>
    <w:p w14:paraId="0DCB3A60" w14:textId="02B3D2D6" w:rsidR="006129C8" w:rsidRDefault="006129C8" w:rsidP="006129C8">
      <w:pPr>
        <w:pStyle w:val="ListParagraph"/>
        <w:numPr>
          <w:ilvl w:val="2"/>
          <w:numId w:val="1"/>
        </w:numPr>
      </w:pPr>
      <w:r>
        <w:t>freq: the recorded frequency array</w:t>
      </w:r>
    </w:p>
    <w:p w14:paraId="47AC0C12" w14:textId="51D39208" w:rsidR="006129C8" w:rsidRDefault="006129C8" w:rsidP="006129C8">
      <w:pPr>
        <w:pStyle w:val="ListParagraph"/>
        <w:numPr>
          <w:ilvl w:val="2"/>
          <w:numId w:val="1"/>
        </w:numPr>
      </w:pPr>
      <w:r>
        <w:t xml:space="preserve">FRF: an array where each </w:t>
      </w:r>
      <w:r w:rsidR="00593803">
        <w:t>column contains the FRF</w:t>
      </w:r>
      <w:r w:rsidR="00A9588D">
        <w:t xml:space="preserve"> of the responses</w:t>
      </w:r>
      <w:r w:rsidR="00593803">
        <w:t xml:space="preserve"> in z, -y and x respectively</w:t>
      </w:r>
    </w:p>
    <w:p w14:paraId="097D294F" w14:textId="669FA10C" w:rsidR="00A9588D" w:rsidRDefault="00A9588D" w:rsidP="006129C8">
      <w:pPr>
        <w:pStyle w:val="ListParagraph"/>
        <w:numPr>
          <w:ilvl w:val="2"/>
          <w:numId w:val="1"/>
        </w:numPr>
      </w:pPr>
      <w:r>
        <w:t>PSD: an array where each column contains the PSD of the responses in z, -y and x respectively followed by the PSD of the excitation signal</w:t>
      </w:r>
    </w:p>
    <w:p w14:paraId="56F5C8E7" w14:textId="6EFFD30E" w:rsidR="00C3180D" w:rsidRDefault="00C3180D" w:rsidP="00C3180D">
      <w:pPr>
        <w:pStyle w:val="ListParagraph"/>
        <w:numPr>
          <w:ilvl w:val="0"/>
          <w:numId w:val="1"/>
        </w:numPr>
      </w:pPr>
      <w:r>
        <w:t>damage_tests, containing cells for the spectral and modal data where each row contains the data for a single strut and each column contains the data for a single damage extent</w:t>
      </w:r>
    </w:p>
    <w:p w14:paraId="14F241EC" w14:textId="1B6CFC91" w:rsidR="00C3180D" w:rsidRDefault="00C3180D" w:rsidP="00C3180D">
      <w:pPr>
        <w:pStyle w:val="ListParagraph"/>
        <w:numPr>
          <w:ilvl w:val="1"/>
          <w:numId w:val="1"/>
        </w:numPr>
      </w:pPr>
      <w:r>
        <w:t>modal is a cell where each entry contains the following:</w:t>
      </w:r>
    </w:p>
    <w:p w14:paraId="3F220A90" w14:textId="70A5D751" w:rsidR="00C3180D" w:rsidRDefault="00C3180D" w:rsidP="00C3180D">
      <w:pPr>
        <w:pStyle w:val="ListParagraph"/>
        <w:numPr>
          <w:ilvl w:val="2"/>
          <w:numId w:val="1"/>
        </w:numPr>
      </w:pPr>
      <w:r>
        <w:t xml:space="preserve">strut_ID: a numeric referring to the strut of the bridge containing the damage (see </w:t>
      </w:r>
      <w:r>
        <w:fldChar w:fldCharType="begin"/>
      </w:r>
      <w:r>
        <w:instrText xml:space="preserve"> REF _Ref103693714 \h </w:instrText>
      </w:r>
      <w:r>
        <w:fldChar w:fldCharType="separate"/>
      </w:r>
      <w:r w:rsidR="0075336B">
        <w:t xml:space="preserve">Figure </w:t>
      </w:r>
      <w:r w:rsidR="0075336B">
        <w:rPr>
          <w:noProof/>
        </w:rPr>
        <w:t>3</w:t>
      </w:r>
      <w:r>
        <w:fldChar w:fldCharType="end"/>
      </w:r>
      <w:r>
        <w:t>)</w:t>
      </w:r>
    </w:p>
    <w:p w14:paraId="786BC23D" w14:textId="77FAD48F" w:rsidR="00C3180D" w:rsidRDefault="00C3180D" w:rsidP="00C3180D">
      <w:pPr>
        <w:pStyle w:val="ListParagraph"/>
        <w:numPr>
          <w:ilvl w:val="2"/>
          <w:numId w:val="1"/>
        </w:numPr>
      </w:pPr>
      <w:r>
        <w:t>damage_extent</w:t>
      </w:r>
      <w:r w:rsidR="00D45344">
        <w:t>: a numeric referring to the depth of the saw cut in mm</w:t>
      </w:r>
    </w:p>
    <w:p w14:paraId="35D5D2A3" w14:textId="79855012" w:rsidR="00C3180D" w:rsidRDefault="00C3180D" w:rsidP="00C3180D">
      <w:pPr>
        <w:pStyle w:val="ListParagraph"/>
        <w:numPr>
          <w:ilvl w:val="2"/>
          <w:numId w:val="1"/>
        </w:numPr>
      </w:pPr>
      <w:r>
        <w:t>geometry: an array containing the coordinates of the accelerometers on the bridge</w:t>
      </w:r>
      <w:r w:rsidR="00755CA3">
        <w:t xml:space="preserve"> (in order) followed by the tap location</w:t>
      </w:r>
    </w:p>
    <w:p w14:paraId="5B7945CE" w14:textId="2770AFE8" w:rsidR="00C3180D" w:rsidRDefault="00C3180D" w:rsidP="00C3180D">
      <w:pPr>
        <w:pStyle w:val="ListParagraph"/>
        <w:numPr>
          <w:ilvl w:val="2"/>
          <w:numId w:val="1"/>
        </w:numPr>
      </w:pPr>
      <w:r>
        <w:t>fn: an array containing the extracted natural frequencies of the bridge</w:t>
      </w:r>
    </w:p>
    <w:p w14:paraId="3761E77C" w14:textId="12EA8D01" w:rsidR="00C3180D" w:rsidRDefault="00C3180D" w:rsidP="00C3180D">
      <w:pPr>
        <w:pStyle w:val="ListParagraph"/>
        <w:numPr>
          <w:ilvl w:val="2"/>
          <w:numId w:val="1"/>
        </w:numPr>
      </w:pPr>
      <w:r>
        <w:t>phi: a cell containing the extracted mode shapes of the bridge</w:t>
      </w:r>
    </w:p>
    <w:p w14:paraId="3D247B6D" w14:textId="258E0639" w:rsidR="00190286" w:rsidRDefault="00190286" w:rsidP="00190286">
      <w:pPr>
        <w:pStyle w:val="ListParagraph"/>
        <w:numPr>
          <w:ilvl w:val="1"/>
          <w:numId w:val="1"/>
        </w:numPr>
      </w:pPr>
      <w:r>
        <w:t>spectra is a cell where each entry contains the following:</w:t>
      </w:r>
    </w:p>
    <w:p w14:paraId="79824A50" w14:textId="49412C6D" w:rsidR="00190286" w:rsidRDefault="00190286" w:rsidP="00190286">
      <w:pPr>
        <w:pStyle w:val="ListParagraph"/>
        <w:numPr>
          <w:ilvl w:val="2"/>
          <w:numId w:val="1"/>
        </w:numPr>
      </w:pPr>
      <w:r>
        <w:t xml:space="preserve">strut_ID: a numeric referring to the strut of the bridge containing the damage (see </w:t>
      </w:r>
      <w:r>
        <w:fldChar w:fldCharType="begin"/>
      </w:r>
      <w:r>
        <w:instrText xml:space="preserve"> REF _Ref103693714 \h </w:instrText>
      </w:r>
      <w:r>
        <w:fldChar w:fldCharType="separate"/>
      </w:r>
      <w:r w:rsidR="0075336B">
        <w:t xml:space="preserve">Figure </w:t>
      </w:r>
      <w:r w:rsidR="0075336B">
        <w:rPr>
          <w:noProof/>
        </w:rPr>
        <w:t>3</w:t>
      </w:r>
      <w:r>
        <w:fldChar w:fldCharType="end"/>
      </w:r>
      <w:r>
        <w:t>)</w:t>
      </w:r>
    </w:p>
    <w:p w14:paraId="1669E1AA" w14:textId="77777777" w:rsidR="00190286" w:rsidRDefault="00190286" w:rsidP="00190286">
      <w:pPr>
        <w:pStyle w:val="ListParagraph"/>
        <w:numPr>
          <w:ilvl w:val="2"/>
          <w:numId w:val="1"/>
        </w:numPr>
      </w:pPr>
      <w:r>
        <w:t>damage_extent: a numeric referring to the depth of the saw cut in mm</w:t>
      </w:r>
    </w:p>
    <w:p w14:paraId="4784ECF7" w14:textId="77777777" w:rsidR="00190286" w:rsidRDefault="00190286" w:rsidP="00190286">
      <w:pPr>
        <w:pStyle w:val="ListParagraph"/>
        <w:numPr>
          <w:ilvl w:val="2"/>
          <w:numId w:val="1"/>
        </w:numPr>
      </w:pPr>
      <w:r>
        <w:t>freq: the recorded frequency array</w:t>
      </w:r>
    </w:p>
    <w:p w14:paraId="51839F1D" w14:textId="39DBE9E0" w:rsidR="00190286" w:rsidRDefault="00190286" w:rsidP="00190286">
      <w:pPr>
        <w:pStyle w:val="ListParagraph"/>
        <w:numPr>
          <w:ilvl w:val="2"/>
          <w:numId w:val="1"/>
        </w:numPr>
      </w:pPr>
      <w:r>
        <w:t xml:space="preserve">FRF: an array where each column contains </w:t>
      </w:r>
      <w:r w:rsidR="00B8500A">
        <w:t>an</w:t>
      </w:r>
      <w:r>
        <w:t xml:space="preserve"> FRF of the </w:t>
      </w:r>
      <w:r w:rsidR="00B8500A">
        <w:t xml:space="preserve">response; an index for these is provided in </w:t>
      </w:r>
      <w:r w:rsidR="0057560F">
        <w:fldChar w:fldCharType="begin"/>
      </w:r>
      <w:r w:rsidR="0057560F">
        <w:instrText xml:space="preserve"> REF _Ref149216729 \h </w:instrText>
      </w:r>
      <w:r w:rsidR="0057560F">
        <w:fldChar w:fldCharType="separate"/>
      </w:r>
      <w:r w:rsidR="0075336B">
        <w:t xml:space="preserve">Table </w:t>
      </w:r>
      <w:r w:rsidR="0075336B">
        <w:rPr>
          <w:noProof/>
        </w:rPr>
        <w:t>1</w:t>
      </w:r>
      <w:r w:rsidR="0057560F">
        <w:fldChar w:fldCharType="end"/>
      </w:r>
    </w:p>
    <w:p w14:paraId="573423C5" w14:textId="75B60892" w:rsidR="00B8500A" w:rsidRDefault="00190286" w:rsidP="00B8500A">
      <w:pPr>
        <w:pStyle w:val="ListParagraph"/>
        <w:numPr>
          <w:ilvl w:val="2"/>
          <w:numId w:val="1"/>
        </w:numPr>
      </w:pPr>
      <w:r>
        <w:t xml:space="preserve">PSD: an array where each column contains </w:t>
      </w:r>
      <w:r w:rsidR="00B8500A">
        <w:t>an</w:t>
      </w:r>
      <w:r>
        <w:t xml:space="preserve"> PSD of the</w:t>
      </w:r>
      <w:r w:rsidR="00B8500A">
        <w:t xml:space="preserve"> response; an index for these is provided in </w:t>
      </w:r>
      <w:r w:rsidR="0057560F">
        <w:fldChar w:fldCharType="begin"/>
      </w:r>
      <w:r w:rsidR="0057560F">
        <w:instrText xml:space="preserve"> REF _Ref149216729 \h </w:instrText>
      </w:r>
      <w:r w:rsidR="0057560F">
        <w:fldChar w:fldCharType="separate"/>
      </w:r>
      <w:r w:rsidR="0075336B">
        <w:t xml:space="preserve">Table </w:t>
      </w:r>
      <w:r w:rsidR="0075336B">
        <w:rPr>
          <w:noProof/>
        </w:rPr>
        <w:t>1</w:t>
      </w:r>
      <w:r w:rsidR="0057560F">
        <w:fldChar w:fldCharType="end"/>
      </w:r>
    </w:p>
    <w:p w14:paraId="481D6865" w14:textId="643F42EC" w:rsidR="00755CA3" w:rsidRDefault="00755CA3" w:rsidP="00755CA3">
      <w:pPr>
        <w:pStyle w:val="Caption"/>
        <w:keepNext/>
      </w:pPr>
      <w:bookmarkStart w:id="4" w:name="_Ref149216729"/>
      <w:r>
        <w:t xml:space="preserve">Table </w:t>
      </w:r>
      <w:r w:rsidR="00716CDA">
        <w:fldChar w:fldCharType="begin"/>
      </w:r>
      <w:r w:rsidR="00716CDA">
        <w:instrText xml:space="preserve"> SEQ Table \* ARABIC </w:instrText>
      </w:r>
      <w:r w:rsidR="00716CDA">
        <w:fldChar w:fldCharType="separate"/>
      </w:r>
      <w:r w:rsidR="0075336B">
        <w:rPr>
          <w:noProof/>
        </w:rPr>
        <w:t>1</w:t>
      </w:r>
      <w:r w:rsidR="00716CDA">
        <w:rPr>
          <w:noProof/>
        </w:rPr>
        <w:fldChar w:fldCharType="end"/>
      </w:r>
      <w:bookmarkEnd w:id="4"/>
      <w:r>
        <w:t>: Index of the FRF and PSD cell array columns for the damage tests</w:t>
      </w:r>
      <w:r w:rsidR="0057560F">
        <w:t xml:space="preserve"> (25</w:t>
      </w:r>
      <w:r w:rsidR="0057560F" w:rsidRPr="0057560F">
        <w:rPr>
          <w:vertAlign w:val="superscript"/>
        </w:rPr>
        <w:t>th</w:t>
      </w:r>
      <w:r w:rsidR="0057560F">
        <w:t xml:space="preserve"> column not included in FRF data)</w:t>
      </w:r>
    </w:p>
    <w:tbl>
      <w:tblPr>
        <w:tblW w:w="31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960"/>
        <w:gridCol w:w="1206"/>
      </w:tblGrid>
      <w:tr w:rsidR="00755CA3" w:rsidRPr="00755CA3" w14:paraId="305DABB2" w14:textId="77777777" w:rsidTr="00755CA3">
        <w:trPr>
          <w:trHeight w:val="300"/>
          <w:jc w:val="center"/>
        </w:trPr>
        <w:tc>
          <w:tcPr>
            <w:tcW w:w="960" w:type="dxa"/>
            <w:shd w:val="clear" w:color="auto" w:fill="auto"/>
            <w:noWrap/>
            <w:vAlign w:val="bottom"/>
            <w:hideMark/>
          </w:tcPr>
          <w:p w14:paraId="1722C870" w14:textId="77777777" w:rsidR="00755CA3" w:rsidRPr="00BF15A2" w:rsidRDefault="00755CA3" w:rsidP="00BF15A2">
            <w:pPr>
              <w:pStyle w:val="NoSpacing"/>
              <w:rPr>
                <w:b/>
              </w:rPr>
            </w:pPr>
            <w:r w:rsidRPr="00BF15A2">
              <w:rPr>
                <w:b/>
              </w:rPr>
              <w:t>Column</w:t>
            </w:r>
          </w:p>
        </w:tc>
        <w:tc>
          <w:tcPr>
            <w:tcW w:w="960" w:type="dxa"/>
            <w:shd w:val="clear" w:color="auto" w:fill="auto"/>
            <w:noWrap/>
            <w:vAlign w:val="bottom"/>
            <w:hideMark/>
          </w:tcPr>
          <w:p w14:paraId="2C702703" w14:textId="77777777" w:rsidR="00755CA3" w:rsidRPr="00BF15A2" w:rsidRDefault="00755CA3" w:rsidP="00BF15A2">
            <w:pPr>
              <w:pStyle w:val="NoSpacing"/>
              <w:rPr>
                <w:b/>
              </w:rPr>
            </w:pPr>
            <w:r w:rsidRPr="00BF15A2">
              <w:rPr>
                <w:b/>
              </w:rPr>
              <w:t>Sensor</w:t>
            </w:r>
          </w:p>
        </w:tc>
        <w:tc>
          <w:tcPr>
            <w:tcW w:w="1206" w:type="dxa"/>
            <w:shd w:val="clear" w:color="auto" w:fill="auto"/>
            <w:noWrap/>
            <w:vAlign w:val="bottom"/>
            <w:hideMark/>
          </w:tcPr>
          <w:p w14:paraId="65956C03" w14:textId="77777777" w:rsidR="00755CA3" w:rsidRPr="00BF15A2" w:rsidRDefault="00755CA3" w:rsidP="00BF15A2">
            <w:pPr>
              <w:pStyle w:val="NoSpacing"/>
              <w:rPr>
                <w:b/>
              </w:rPr>
            </w:pPr>
            <w:r w:rsidRPr="00BF15A2">
              <w:rPr>
                <w:b/>
              </w:rPr>
              <w:t>Direction</w:t>
            </w:r>
          </w:p>
        </w:tc>
      </w:tr>
      <w:tr w:rsidR="00755CA3" w:rsidRPr="00755CA3" w14:paraId="270F3638" w14:textId="77777777" w:rsidTr="00755CA3">
        <w:trPr>
          <w:trHeight w:val="300"/>
          <w:jc w:val="center"/>
        </w:trPr>
        <w:tc>
          <w:tcPr>
            <w:tcW w:w="960" w:type="dxa"/>
            <w:shd w:val="clear" w:color="auto" w:fill="auto"/>
            <w:noWrap/>
            <w:vAlign w:val="bottom"/>
            <w:hideMark/>
          </w:tcPr>
          <w:p w14:paraId="1490A821" w14:textId="77777777" w:rsidR="00755CA3" w:rsidRPr="00755CA3" w:rsidRDefault="00755CA3" w:rsidP="00BF15A2">
            <w:pPr>
              <w:pStyle w:val="NoSpacing"/>
            </w:pPr>
            <w:r w:rsidRPr="00755CA3">
              <w:t>1</w:t>
            </w:r>
          </w:p>
        </w:tc>
        <w:tc>
          <w:tcPr>
            <w:tcW w:w="960" w:type="dxa"/>
            <w:shd w:val="clear" w:color="auto" w:fill="auto"/>
            <w:noWrap/>
            <w:vAlign w:val="bottom"/>
            <w:hideMark/>
          </w:tcPr>
          <w:p w14:paraId="0C8EB303" w14:textId="77777777" w:rsidR="00755CA3" w:rsidRPr="00755CA3" w:rsidRDefault="00755CA3" w:rsidP="00BF15A2">
            <w:pPr>
              <w:pStyle w:val="NoSpacing"/>
            </w:pPr>
            <w:r w:rsidRPr="00755CA3">
              <w:t>12</w:t>
            </w:r>
          </w:p>
        </w:tc>
        <w:tc>
          <w:tcPr>
            <w:tcW w:w="1206" w:type="dxa"/>
            <w:shd w:val="clear" w:color="auto" w:fill="auto"/>
            <w:noWrap/>
            <w:vAlign w:val="bottom"/>
            <w:hideMark/>
          </w:tcPr>
          <w:p w14:paraId="59763655" w14:textId="77777777" w:rsidR="00755CA3" w:rsidRPr="00755CA3" w:rsidRDefault="00755CA3" w:rsidP="00BF15A2">
            <w:pPr>
              <w:pStyle w:val="NoSpacing"/>
            </w:pPr>
            <w:r w:rsidRPr="00755CA3">
              <w:t>-z</w:t>
            </w:r>
          </w:p>
        </w:tc>
      </w:tr>
      <w:tr w:rsidR="00755CA3" w:rsidRPr="00755CA3" w14:paraId="5985344C" w14:textId="77777777" w:rsidTr="00755CA3">
        <w:trPr>
          <w:trHeight w:val="300"/>
          <w:jc w:val="center"/>
        </w:trPr>
        <w:tc>
          <w:tcPr>
            <w:tcW w:w="960" w:type="dxa"/>
            <w:shd w:val="clear" w:color="auto" w:fill="auto"/>
            <w:noWrap/>
            <w:vAlign w:val="bottom"/>
            <w:hideMark/>
          </w:tcPr>
          <w:p w14:paraId="0D9FC5EF" w14:textId="77777777" w:rsidR="00755CA3" w:rsidRPr="00755CA3" w:rsidRDefault="00755CA3" w:rsidP="00BF15A2">
            <w:pPr>
              <w:pStyle w:val="NoSpacing"/>
            </w:pPr>
            <w:r w:rsidRPr="00755CA3">
              <w:t>2</w:t>
            </w:r>
          </w:p>
        </w:tc>
        <w:tc>
          <w:tcPr>
            <w:tcW w:w="960" w:type="dxa"/>
            <w:shd w:val="clear" w:color="auto" w:fill="auto"/>
            <w:noWrap/>
            <w:vAlign w:val="bottom"/>
            <w:hideMark/>
          </w:tcPr>
          <w:p w14:paraId="45790F28" w14:textId="77777777" w:rsidR="00755CA3" w:rsidRPr="00755CA3" w:rsidRDefault="00755CA3" w:rsidP="00BF15A2">
            <w:pPr>
              <w:pStyle w:val="NoSpacing"/>
            </w:pPr>
            <w:r w:rsidRPr="00755CA3">
              <w:t>12</w:t>
            </w:r>
          </w:p>
        </w:tc>
        <w:tc>
          <w:tcPr>
            <w:tcW w:w="1206" w:type="dxa"/>
            <w:shd w:val="clear" w:color="auto" w:fill="auto"/>
            <w:noWrap/>
            <w:vAlign w:val="bottom"/>
            <w:hideMark/>
          </w:tcPr>
          <w:p w14:paraId="50474740" w14:textId="77777777" w:rsidR="00755CA3" w:rsidRPr="00755CA3" w:rsidRDefault="00755CA3" w:rsidP="00BF15A2">
            <w:pPr>
              <w:pStyle w:val="NoSpacing"/>
            </w:pPr>
            <w:r w:rsidRPr="00755CA3">
              <w:t>-y</w:t>
            </w:r>
          </w:p>
        </w:tc>
      </w:tr>
      <w:tr w:rsidR="00755CA3" w:rsidRPr="00755CA3" w14:paraId="56502019" w14:textId="77777777" w:rsidTr="00755CA3">
        <w:trPr>
          <w:trHeight w:val="300"/>
          <w:jc w:val="center"/>
        </w:trPr>
        <w:tc>
          <w:tcPr>
            <w:tcW w:w="960" w:type="dxa"/>
            <w:shd w:val="clear" w:color="auto" w:fill="auto"/>
            <w:noWrap/>
            <w:vAlign w:val="bottom"/>
            <w:hideMark/>
          </w:tcPr>
          <w:p w14:paraId="66341D7A" w14:textId="77777777" w:rsidR="00755CA3" w:rsidRPr="00755CA3" w:rsidRDefault="00755CA3" w:rsidP="00BF15A2">
            <w:pPr>
              <w:pStyle w:val="NoSpacing"/>
            </w:pPr>
            <w:r w:rsidRPr="00755CA3">
              <w:t>3</w:t>
            </w:r>
          </w:p>
        </w:tc>
        <w:tc>
          <w:tcPr>
            <w:tcW w:w="960" w:type="dxa"/>
            <w:shd w:val="clear" w:color="auto" w:fill="auto"/>
            <w:noWrap/>
            <w:vAlign w:val="bottom"/>
            <w:hideMark/>
          </w:tcPr>
          <w:p w14:paraId="785BB14D" w14:textId="77777777" w:rsidR="00755CA3" w:rsidRPr="00755CA3" w:rsidRDefault="00755CA3" w:rsidP="00BF15A2">
            <w:pPr>
              <w:pStyle w:val="NoSpacing"/>
            </w:pPr>
            <w:r w:rsidRPr="00755CA3">
              <w:t>9</w:t>
            </w:r>
          </w:p>
        </w:tc>
        <w:tc>
          <w:tcPr>
            <w:tcW w:w="1206" w:type="dxa"/>
            <w:shd w:val="clear" w:color="auto" w:fill="auto"/>
            <w:noWrap/>
            <w:vAlign w:val="bottom"/>
            <w:hideMark/>
          </w:tcPr>
          <w:p w14:paraId="70ADCAF6" w14:textId="77777777" w:rsidR="00755CA3" w:rsidRPr="00755CA3" w:rsidRDefault="00755CA3" w:rsidP="00BF15A2">
            <w:pPr>
              <w:pStyle w:val="NoSpacing"/>
            </w:pPr>
            <w:r w:rsidRPr="00755CA3">
              <w:t>z</w:t>
            </w:r>
          </w:p>
        </w:tc>
      </w:tr>
      <w:tr w:rsidR="00755CA3" w:rsidRPr="00755CA3" w14:paraId="7016EC1D" w14:textId="77777777" w:rsidTr="00755CA3">
        <w:trPr>
          <w:trHeight w:val="300"/>
          <w:jc w:val="center"/>
        </w:trPr>
        <w:tc>
          <w:tcPr>
            <w:tcW w:w="960" w:type="dxa"/>
            <w:shd w:val="clear" w:color="auto" w:fill="auto"/>
            <w:noWrap/>
            <w:vAlign w:val="bottom"/>
            <w:hideMark/>
          </w:tcPr>
          <w:p w14:paraId="5AEC4C1A" w14:textId="77777777" w:rsidR="00755CA3" w:rsidRPr="00755CA3" w:rsidRDefault="00755CA3" w:rsidP="00BF15A2">
            <w:pPr>
              <w:pStyle w:val="NoSpacing"/>
            </w:pPr>
            <w:r w:rsidRPr="00755CA3">
              <w:t>4</w:t>
            </w:r>
          </w:p>
        </w:tc>
        <w:tc>
          <w:tcPr>
            <w:tcW w:w="960" w:type="dxa"/>
            <w:shd w:val="clear" w:color="auto" w:fill="auto"/>
            <w:noWrap/>
            <w:vAlign w:val="bottom"/>
            <w:hideMark/>
          </w:tcPr>
          <w:p w14:paraId="3630664D" w14:textId="77777777" w:rsidR="00755CA3" w:rsidRPr="00755CA3" w:rsidRDefault="00755CA3" w:rsidP="00BF15A2">
            <w:pPr>
              <w:pStyle w:val="NoSpacing"/>
            </w:pPr>
            <w:r w:rsidRPr="00755CA3">
              <w:t>9</w:t>
            </w:r>
          </w:p>
        </w:tc>
        <w:tc>
          <w:tcPr>
            <w:tcW w:w="1206" w:type="dxa"/>
            <w:shd w:val="clear" w:color="auto" w:fill="auto"/>
            <w:noWrap/>
            <w:vAlign w:val="bottom"/>
            <w:hideMark/>
          </w:tcPr>
          <w:p w14:paraId="79D15E2D" w14:textId="77777777" w:rsidR="00755CA3" w:rsidRPr="00755CA3" w:rsidRDefault="00755CA3" w:rsidP="00BF15A2">
            <w:pPr>
              <w:pStyle w:val="NoSpacing"/>
            </w:pPr>
            <w:r w:rsidRPr="00755CA3">
              <w:t>-y</w:t>
            </w:r>
          </w:p>
        </w:tc>
      </w:tr>
      <w:tr w:rsidR="00755CA3" w:rsidRPr="00755CA3" w14:paraId="74D502F8" w14:textId="77777777" w:rsidTr="00755CA3">
        <w:trPr>
          <w:trHeight w:val="300"/>
          <w:jc w:val="center"/>
        </w:trPr>
        <w:tc>
          <w:tcPr>
            <w:tcW w:w="960" w:type="dxa"/>
            <w:shd w:val="clear" w:color="auto" w:fill="auto"/>
            <w:noWrap/>
            <w:vAlign w:val="bottom"/>
            <w:hideMark/>
          </w:tcPr>
          <w:p w14:paraId="3A6D19D5" w14:textId="77777777" w:rsidR="00755CA3" w:rsidRPr="00755CA3" w:rsidRDefault="00755CA3" w:rsidP="00BF15A2">
            <w:pPr>
              <w:pStyle w:val="NoSpacing"/>
            </w:pPr>
            <w:r w:rsidRPr="00755CA3">
              <w:t>5</w:t>
            </w:r>
          </w:p>
        </w:tc>
        <w:tc>
          <w:tcPr>
            <w:tcW w:w="960" w:type="dxa"/>
            <w:shd w:val="clear" w:color="auto" w:fill="auto"/>
            <w:noWrap/>
            <w:vAlign w:val="bottom"/>
            <w:hideMark/>
          </w:tcPr>
          <w:p w14:paraId="0684DF9E" w14:textId="77777777" w:rsidR="00755CA3" w:rsidRPr="00755CA3" w:rsidRDefault="00755CA3" w:rsidP="00BF15A2">
            <w:pPr>
              <w:pStyle w:val="NoSpacing"/>
            </w:pPr>
            <w:r w:rsidRPr="00755CA3">
              <w:t>11</w:t>
            </w:r>
          </w:p>
        </w:tc>
        <w:tc>
          <w:tcPr>
            <w:tcW w:w="1206" w:type="dxa"/>
            <w:shd w:val="clear" w:color="auto" w:fill="auto"/>
            <w:noWrap/>
            <w:vAlign w:val="bottom"/>
            <w:hideMark/>
          </w:tcPr>
          <w:p w14:paraId="32835EB5" w14:textId="77777777" w:rsidR="00755CA3" w:rsidRPr="00755CA3" w:rsidRDefault="00755CA3" w:rsidP="00BF15A2">
            <w:pPr>
              <w:pStyle w:val="NoSpacing"/>
            </w:pPr>
            <w:r w:rsidRPr="00755CA3">
              <w:t>-z</w:t>
            </w:r>
          </w:p>
        </w:tc>
      </w:tr>
      <w:tr w:rsidR="00755CA3" w:rsidRPr="00755CA3" w14:paraId="5D07E2D5" w14:textId="77777777" w:rsidTr="00755CA3">
        <w:trPr>
          <w:trHeight w:val="300"/>
          <w:jc w:val="center"/>
        </w:trPr>
        <w:tc>
          <w:tcPr>
            <w:tcW w:w="960" w:type="dxa"/>
            <w:shd w:val="clear" w:color="auto" w:fill="auto"/>
            <w:noWrap/>
            <w:vAlign w:val="bottom"/>
            <w:hideMark/>
          </w:tcPr>
          <w:p w14:paraId="2ADFCD4B" w14:textId="77777777" w:rsidR="00755CA3" w:rsidRPr="00755CA3" w:rsidRDefault="00755CA3" w:rsidP="00BF15A2">
            <w:pPr>
              <w:pStyle w:val="NoSpacing"/>
            </w:pPr>
            <w:r w:rsidRPr="00755CA3">
              <w:t>6</w:t>
            </w:r>
          </w:p>
        </w:tc>
        <w:tc>
          <w:tcPr>
            <w:tcW w:w="960" w:type="dxa"/>
            <w:shd w:val="clear" w:color="auto" w:fill="auto"/>
            <w:noWrap/>
            <w:vAlign w:val="bottom"/>
            <w:hideMark/>
          </w:tcPr>
          <w:p w14:paraId="66D390FB" w14:textId="77777777" w:rsidR="00755CA3" w:rsidRPr="00755CA3" w:rsidRDefault="00755CA3" w:rsidP="00BF15A2">
            <w:pPr>
              <w:pStyle w:val="NoSpacing"/>
            </w:pPr>
            <w:r w:rsidRPr="00755CA3">
              <w:t>11</w:t>
            </w:r>
          </w:p>
        </w:tc>
        <w:tc>
          <w:tcPr>
            <w:tcW w:w="1206" w:type="dxa"/>
            <w:shd w:val="clear" w:color="auto" w:fill="auto"/>
            <w:noWrap/>
            <w:vAlign w:val="bottom"/>
            <w:hideMark/>
          </w:tcPr>
          <w:p w14:paraId="5D6DEC1C" w14:textId="77777777" w:rsidR="00755CA3" w:rsidRPr="00755CA3" w:rsidRDefault="00755CA3" w:rsidP="00BF15A2">
            <w:pPr>
              <w:pStyle w:val="NoSpacing"/>
            </w:pPr>
            <w:r w:rsidRPr="00755CA3">
              <w:t>-y</w:t>
            </w:r>
          </w:p>
        </w:tc>
      </w:tr>
      <w:tr w:rsidR="00755CA3" w:rsidRPr="00755CA3" w14:paraId="43F4FC3F" w14:textId="77777777" w:rsidTr="00755CA3">
        <w:trPr>
          <w:trHeight w:val="300"/>
          <w:jc w:val="center"/>
        </w:trPr>
        <w:tc>
          <w:tcPr>
            <w:tcW w:w="960" w:type="dxa"/>
            <w:shd w:val="clear" w:color="auto" w:fill="auto"/>
            <w:noWrap/>
            <w:vAlign w:val="bottom"/>
            <w:hideMark/>
          </w:tcPr>
          <w:p w14:paraId="1295FE77" w14:textId="77777777" w:rsidR="00755CA3" w:rsidRPr="00755CA3" w:rsidRDefault="00755CA3" w:rsidP="00BF15A2">
            <w:pPr>
              <w:pStyle w:val="NoSpacing"/>
            </w:pPr>
            <w:r w:rsidRPr="00755CA3">
              <w:t>7</w:t>
            </w:r>
          </w:p>
        </w:tc>
        <w:tc>
          <w:tcPr>
            <w:tcW w:w="960" w:type="dxa"/>
            <w:shd w:val="clear" w:color="auto" w:fill="auto"/>
            <w:noWrap/>
            <w:vAlign w:val="bottom"/>
            <w:hideMark/>
          </w:tcPr>
          <w:p w14:paraId="1F4FE317" w14:textId="77777777" w:rsidR="00755CA3" w:rsidRPr="00755CA3" w:rsidRDefault="00755CA3" w:rsidP="00BF15A2">
            <w:pPr>
              <w:pStyle w:val="NoSpacing"/>
            </w:pPr>
            <w:r w:rsidRPr="00755CA3">
              <w:t>8</w:t>
            </w:r>
          </w:p>
        </w:tc>
        <w:tc>
          <w:tcPr>
            <w:tcW w:w="1206" w:type="dxa"/>
            <w:shd w:val="clear" w:color="auto" w:fill="auto"/>
            <w:noWrap/>
            <w:vAlign w:val="bottom"/>
            <w:hideMark/>
          </w:tcPr>
          <w:p w14:paraId="56C7A43F" w14:textId="77777777" w:rsidR="00755CA3" w:rsidRPr="00755CA3" w:rsidRDefault="00755CA3" w:rsidP="00BF15A2">
            <w:pPr>
              <w:pStyle w:val="NoSpacing"/>
            </w:pPr>
            <w:r w:rsidRPr="00755CA3">
              <w:t>z</w:t>
            </w:r>
          </w:p>
        </w:tc>
      </w:tr>
      <w:tr w:rsidR="00755CA3" w:rsidRPr="00755CA3" w14:paraId="78A671EF" w14:textId="77777777" w:rsidTr="00755CA3">
        <w:trPr>
          <w:trHeight w:val="300"/>
          <w:jc w:val="center"/>
        </w:trPr>
        <w:tc>
          <w:tcPr>
            <w:tcW w:w="960" w:type="dxa"/>
            <w:shd w:val="clear" w:color="auto" w:fill="auto"/>
            <w:noWrap/>
            <w:vAlign w:val="bottom"/>
            <w:hideMark/>
          </w:tcPr>
          <w:p w14:paraId="287DE44A" w14:textId="77777777" w:rsidR="00755CA3" w:rsidRPr="00755CA3" w:rsidRDefault="00755CA3" w:rsidP="00BF15A2">
            <w:pPr>
              <w:pStyle w:val="NoSpacing"/>
            </w:pPr>
            <w:r w:rsidRPr="00755CA3">
              <w:t>8</w:t>
            </w:r>
          </w:p>
        </w:tc>
        <w:tc>
          <w:tcPr>
            <w:tcW w:w="960" w:type="dxa"/>
            <w:shd w:val="clear" w:color="auto" w:fill="auto"/>
            <w:noWrap/>
            <w:vAlign w:val="bottom"/>
            <w:hideMark/>
          </w:tcPr>
          <w:p w14:paraId="00ABB7D7" w14:textId="77777777" w:rsidR="00755CA3" w:rsidRPr="00755CA3" w:rsidRDefault="00755CA3" w:rsidP="00BF15A2">
            <w:pPr>
              <w:pStyle w:val="NoSpacing"/>
            </w:pPr>
            <w:r w:rsidRPr="00755CA3">
              <w:t>8</w:t>
            </w:r>
          </w:p>
        </w:tc>
        <w:tc>
          <w:tcPr>
            <w:tcW w:w="1206" w:type="dxa"/>
            <w:shd w:val="clear" w:color="auto" w:fill="auto"/>
            <w:noWrap/>
            <w:vAlign w:val="bottom"/>
            <w:hideMark/>
          </w:tcPr>
          <w:p w14:paraId="56B8551F" w14:textId="77777777" w:rsidR="00755CA3" w:rsidRPr="00755CA3" w:rsidRDefault="00755CA3" w:rsidP="00BF15A2">
            <w:pPr>
              <w:pStyle w:val="NoSpacing"/>
            </w:pPr>
            <w:r w:rsidRPr="00755CA3">
              <w:t>-y</w:t>
            </w:r>
          </w:p>
        </w:tc>
      </w:tr>
      <w:tr w:rsidR="00755CA3" w:rsidRPr="00755CA3" w14:paraId="217DCCA9" w14:textId="77777777" w:rsidTr="00755CA3">
        <w:trPr>
          <w:trHeight w:val="300"/>
          <w:jc w:val="center"/>
        </w:trPr>
        <w:tc>
          <w:tcPr>
            <w:tcW w:w="960" w:type="dxa"/>
            <w:shd w:val="clear" w:color="auto" w:fill="auto"/>
            <w:noWrap/>
            <w:vAlign w:val="bottom"/>
            <w:hideMark/>
          </w:tcPr>
          <w:p w14:paraId="246DC3CE" w14:textId="77777777" w:rsidR="00755CA3" w:rsidRPr="00755CA3" w:rsidRDefault="00755CA3" w:rsidP="00BF15A2">
            <w:pPr>
              <w:pStyle w:val="NoSpacing"/>
            </w:pPr>
            <w:r w:rsidRPr="00755CA3">
              <w:t>9</w:t>
            </w:r>
          </w:p>
        </w:tc>
        <w:tc>
          <w:tcPr>
            <w:tcW w:w="960" w:type="dxa"/>
            <w:shd w:val="clear" w:color="auto" w:fill="auto"/>
            <w:noWrap/>
            <w:vAlign w:val="bottom"/>
            <w:hideMark/>
          </w:tcPr>
          <w:p w14:paraId="21FD718E" w14:textId="77777777" w:rsidR="00755CA3" w:rsidRPr="00755CA3" w:rsidRDefault="00755CA3" w:rsidP="00BF15A2">
            <w:pPr>
              <w:pStyle w:val="NoSpacing"/>
            </w:pPr>
            <w:r w:rsidRPr="00755CA3">
              <w:t>10</w:t>
            </w:r>
          </w:p>
        </w:tc>
        <w:tc>
          <w:tcPr>
            <w:tcW w:w="1206" w:type="dxa"/>
            <w:shd w:val="clear" w:color="auto" w:fill="auto"/>
            <w:noWrap/>
            <w:vAlign w:val="bottom"/>
            <w:hideMark/>
          </w:tcPr>
          <w:p w14:paraId="12FA2583" w14:textId="77777777" w:rsidR="00755CA3" w:rsidRPr="00755CA3" w:rsidRDefault="00755CA3" w:rsidP="00BF15A2">
            <w:pPr>
              <w:pStyle w:val="NoSpacing"/>
            </w:pPr>
            <w:r w:rsidRPr="00755CA3">
              <w:t>-z</w:t>
            </w:r>
          </w:p>
        </w:tc>
      </w:tr>
      <w:tr w:rsidR="00755CA3" w:rsidRPr="00755CA3" w14:paraId="3CA0C1EC" w14:textId="77777777" w:rsidTr="00755CA3">
        <w:trPr>
          <w:trHeight w:val="300"/>
          <w:jc w:val="center"/>
        </w:trPr>
        <w:tc>
          <w:tcPr>
            <w:tcW w:w="960" w:type="dxa"/>
            <w:shd w:val="clear" w:color="auto" w:fill="auto"/>
            <w:noWrap/>
            <w:vAlign w:val="bottom"/>
            <w:hideMark/>
          </w:tcPr>
          <w:p w14:paraId="72214077" w14:textId="77777777" w:rsidR="00755CA3" w:rsidRPr="00755CA3" w:rsidRDefault="00755CA3" w:rsidP="00BF15A2">
            <w:pPr>
              <w:pStyle w:val="NoSpacing"/>
            </w:pPr>
            <w:r w:rsidRPr="00755CA3">
              <w:t>10</w:t>
            </w:r>
          </w:p>
        </w:tc>
        <w:tc>
          <w:tcPr>
            <w:tcW w:w="960" w:type="dxa"/>
            <w:shd w:val="clear" w:color="auto" w:fill="auto"/>
            <w:noWrap/>
            <w:vAlign w:val="bottom"/>
            <w:hideMark/>
          </w:tcPr>
          <w:p w14:paraId="00B3039B" w14:textId="77777777" w:rsidR="00755CA3" w:rsidRPr="00755CA3" w:rsidRDefault="00755CA3" w:rsidP="00BF15A2">
            <w:pPr>
              <w:pStyle w:val="NoSpacing"/>
            </w:pPr>
            <w:r w:rsidRPr="00755CA3">
              <w:t>10</w:t>
            </w:r>
          </w:p>
        </w:tc>
        <w:tc>
          <w:tcPr>
            <w:tcW w:w="1206" w:type="dxa"/>
            <w:shd w:val="clear" w:color="auto" w:fill="auto"/>
            <w:noWrap/>
            <w:vAlign w:val="bottom"/>
            <w:hideMark/>
          </w:tcPr>
          <w:p w14:paraId="6E9DF3D9" w14:textId="77777777" w:rsidR="00755CA3" w:rsidRPr="00755CA3" w:rsidRDefault="00755CA3" w:rsidP="00BF15A2">
            <w:pPr>
              <w:pStyle w:val="NoSpacing"/>
            </w:pPr>
            <w:r w:rsidRPr="00755CA3">
              <w:t>-y</w:t>
            </w:r>
          </w:p>
        </w:tc>
      </w:tr>
      <w:tr w:rsidR="00755CA3" w:rsidRPr="00755CA3" w14:paraId="2C692D75" w14:textId="77777777" w:rsidTr="00755CA3">
        <w:trPr>
          <w:trHeight w:val="300"/>
          <w:jc w:val="center"/>
        </w:trPr>
        <w:tc>
          <w:tcPr>
            <w:tcW w:w="960" w:type="dxa"/>
            <w:shd w:val="clear" w:color="auto" w:fill="auto"/>
            <w:noWrap/>
            <w:vAlign w:val="bottom"/>
            <w:hideMark/>
          </w:tcPr>
          <w:p w14:paraId="7E3C43F0" w14:textId="77777777" w:rsidR="00755CA3" w:rsidRPr="00755CA3" w:rsidRDefault="00755CA3" w:rsidP="00BF15A2">
            <w:pPr>
              <w:pStyle w:val="NoSpacing"/>
            </w:pPr>
            <w:r w:rsidRPr="00755CA3">
              <w:lastRenderedPageBreak/>
              <w:t>11</w:t>
            </w:r>
          </w:p>
        </w:tc>
        <w:tc>
          <w:tcPr>
            <w:tcW w:w="960" w:type="dxa"/>
            <w:shd w:val="clear" w:color="auto" w:fill="auto"/>
            <w:noWrap/>
            <w:vAlign w:val="bottom"/>
            <w:hideMark/>
          </w:tcPr>
          <w:p w14:paraId="690739C8" w14:textId="77777777" w:rsidR="00755CA3" w:rsidRPr="00755CA3" w:rsidRDefault="00755CA3" w:rsidP="00BF15A2">
            <w:pPr>
              <w:pStyle w:val="NoSpacing"/>
            </w:pPr>
            <w:r w:rsidRPr="00755CA3">
              <w:t>7</w:t>
            </w:r>
          </w:p>
        </w:tc>
        <w:tc>
          <w:tcPr>
            <w:tcW w:w="1206" w:type="dxa"/>
            <w:shd w:val="clear" w:color="auto" w:fill="auto"/>
            <w:noWrap/>
            <w:vAlign w:val="bottom"/>
            <w:hideMark/>
          </w:tcPr>
          <w:p w14:paraId="5540A790" w14:textId="77777777" w:rsidR="00755CA3" w:rsidRPr="00755CA3" w:rsidRDefault="00755CA3" w:rsidP="00BF15A2">
            <w:pPr>
              <w:pStyle w:val="NoSpacing"/>
            </w:pPr>
            <w:r w:rsidRPr="00755CA3">
              <w:t>z</w:t>
            </w:r>
          </w:p>
        </w:tc>
      </w:tr>
      <w:tr w:rsidR="00755CA3" w:rsidRPr="00755CA3" w14:paraId="0FE4858A" w14:textId="77777777" w:rsidTr="00755CA3">
        <w:trPr>
          <w:trHeight w:val="300"/>
          <w:jc w:val="center"/>
        </w:trPr>
        <w:tc>
          <w:tcPr>
            <w:tcW w:w="960" w:type="dxa"/>
            <w:shd w:val="clear" w:color="auto" w:fill="auto"/>
            <w:noWrap/>
            <w:vAlign w:val="bottom"/>
            <w:hideMark/>
          </w:tcPr>
          <w:p w14:paraId="5A01BBCB" w14:textId="77777777" w:rsidR="00755CA3" w:rsidRPr="00755CA3" w:rsidRDefault="00755CA3" w:rsidP="00BF15A2">
            <w:pPr>
              <w:pStyle w:val="NoSpacing"/>
            </w:pPr>
            <w:r w:rsidRPr="00755CA3">
              <w:t>12</w:t>
            </w:r>
          </w:p>
        </w:tc>
        <w:tc>
          <w:tcPr>
            <w:tcW w:w="960" w:type="dxa"/>
            <w:shd w:val="clear" w:color="auto" w:fill="auto"/>
            <w:noWrap/>
            <w:vAlign w:val="bottom"/>
            <w:hideMark/>
          </w:tcPr>
          <w:p w14:paraId="0F8E2FDE" w14:textId="77777777" w:rsidR="00755CA3" w:rsidRPr="00755CA3" w:rsidRDefault="00755CA3" w:rsidP="00BF15A2">
            <w:pPr>
              <w:pStyle w:val="NoSpacing"/>
            </w:pPr>
            <w:r w:rsidRPr="00755CA3">
              <w:t>7</w:t>
            </w:r>
          </w:p>
        </w:tc>
        <w:tc>
          <w:tcPr>
            <w:tcW w:w="1206" w:type="dxa"/>
            <w:shd w:val="clear" w:color="auto" w:fill="auto"/>
            <w:noWrap/>
            <w:vAlign w:val="bottom"/>
            <w:hideMark/>
          </w:tcPr>
          <w:p w14:paraId="5CCF184F" w14:textId="77777777" w:rsidR="00755CA3" w:rsidRPr="00755CA3" w:rsidRDefault="00755CA3" w:rsidP="00BF15A2">
            <w:pPr>
              <w:pStyle w:val="NoSpacing"/>
            </w:pPr>
            <w:r w:rsidRPr="00755CA3">
              <w:t>-y</w:t>
            </w:r>
          </w:p>
        </w:tc>
      </w:tr>
      <w:tr w:rsidR="00755CA3" w:rsidRPr="00755CA3" w14:paraId="4B42C12A" w14:textId="77777777" w:rsidTr="00755CA3">
        <w:trPr>
          <w:trHeight w:val="300"/>
          <w:jc w:val="center"/>
        </w:trPr>
        <w:tc>
          <w:tcPr>
            <w:tcW w:w="960" w:type="dxa"/>
            <w:shd w:val="clear" w:color="auto" w:fill="auto"/>
            <w:noWrap/>
            <w:vAlign w:val="bottom"/>
            <w:hideMark/>
          </w:tcPr>
          <w:p w14:paraId="4CE3B5C1" w14:textId="77777777" w:rsidR="00755CA3" w:rsidRPr="00755CA3" w:rsidRDefault="00755CA3" w:rsidP="00BF15A2">
            <w:pPr>
              <w:pStyle w:val="NoSpacing"/>
            </w:pPr>
            <w:r w:rsidRPr="00755CA3">
              <w:t>13</w:t>
            </w:r>
          </w:p>
        </w:tc>
        <w:tc>
          <w:tcPr>
            <w:tcW w:w="960" w:type="dxa"/>
            <w:shd w:val="clear" w:color="auto" w:fill="auto"/>
            <w:noWrap/>
            <w:vAlign w:val="bottom"/>
            <w:hideMark/>
          </w:tcPr>
          <w:p w14:paraId="56C096E9" w14:textId="77777777" w:rsidR="00755CA3" w:rsidRPr="00755CA3" w:rsidRDefault="00755CA3" w:rsidP="00BF15A2">
            <w:pPr>
              <w:pStyle w:val="NoSpacing"/>
            </w:pPr>
            <w:r w:rsidRPr="00755CA3">
              <w:t>6</w:t>
            </w:r>
          </w:p>
        </w:tc>
        <w:tc>
          <w:tcPr>
            <w:tcW w:w="1206" w:type="dxa"/>
            <w:shd w:val="clear" w:color="auto" w:fill="auto"/>
            <w:noWrap/>
            <w:vAlign w:val="bottom"/>
            <w:hideMark/>
          </w:tcPr>
          <w:p w14:paraId="356A54C4" w14:textId="77777777" w:rsidR="00755CA3" w:rsidRPr="00755CA3" w:rsidRDefault="00755CA3" w:rsidP="00BF15A2">
            <w:pPr>
              <w:pStyle w:val="NoSpacing"/>
            </w:pPr>
            <w:r w:rsidRPr="00755CA3">
              <w:t>z</w:t>
            </w:r>
          </w:p>
        </w:tc>
      </w:tr>
      <w:tr w:rsidR="00755CA3" w:rsidRPr="00755CA3" w14:paraId="074E56FA" w14:textId="77777777" w:rsidTr="00755CA3">
        <w:trPr>
          <w:trHeight w:val="300"/>
          <w:jc w:val="center"/>
        </w:trPr>
        <w:tc>
          <w:tcPr>
            <w:tcW w:w="960" w:type="dxa"/>
            <w:shd w:val="clear" w:color="auto" w:fill="auto"/>
            <w:noWrap/>
            <w:vAlign w:val="bottom"/>
            <w:hideMark/>
          </w:tcPr>
          <w:p w14:paraId="5AF9398E" w14:textId="77777777" w:rsidR="00755CA3" w:rsidRPr="00755CA3" w:rsidRDefault="00755CA3" w:rsidP="00BF15A2">
            <w:pPr>
              <w:pStyle w:val="NoSpacing"/>
            </w:pPr>
            <w:r w:rsidRPr="00755CA3">
              <w:t>14</w:t>
            </w:r>
          </w:p>
        </w:tc>
        <w:tc>
          <w:tcPr>
            <w:tcW w:w="960" w:type="dxa"/>
            <w:shd w:val="clear" w:color="auto" w:fill="auto"/>
            <w:noWrap/>
            <w:vAlign w:val="bottom"/>
            <w:hideMark/>
          </w:tcPr>
          <w:p w14:paraId="2621D980" w14:textId="77777777" w:rsidR="00755CA3" w:rsidRPr="00755CA3" w:rsidRDefault="00755CA3" w:rsidP="00BF15A2">
            <w:pPr>
              <w:pStyle w:val="NoSpacing"/>
            </w:pPr>
            <w:r w:rsidRPr="00755CA3">
              <w:t>6</w:t>
            </w:r>
          </w:p>
        </w:tc>
        <w:tc>
          <w:tcPr>
            <w:tcW w:w="1206" w:type="dxa"/>
            <w:shd w:val="clear" w:color="auto" w:fill="auto"/>
            <w:noWrap/>
            <w:vAlign w:val="bottom"/>
            <w:hideMark/>
          </w:tcPr>
          <w:p w14:paraId="7BA1BFF7" w14:textId="77777777" w:rsidR="00755CA3" w:rsidRPr="00755CA3" w:rsidRDefault="00755CA3" w:rsidP="00BF15A2">
            <w:pPr>
              <w:pStyle w:val="NoSpacing"/>
            </w:pPr>
            <w:r w:rsidRPr="00755CA3">
              <w:t>-y</w:t>
            </w:r>
          </w:p>
        </w:tc>
      </w:tr>
      <w:tr w:rsidR="00755CA3" w:rsidRPr="00755CA3" w14:paraId="62E5EFA0" w14:textId="77777777" w:rsidTr="00755CA3">
        <w:trPr>
          <w:trHeight w:val="300"/>
          <w:jc w:val="center"/>
        </w:trPr>
        <w:tc>
          <w:tcPr>
            <w:tcW w:w="960" w:type="dxa"/>
            <w:shd w:val="clear" w:color="auto" w:fill="auto"/>
            <w:noWrap/>
            <w:vAlign w:val="bottom"/>
            <w:hideMark/>
          </w:tcPr>
          <w:p w14:paraId="636B6C31" w14:textId="77777777" w:rsidR="00755CA3" w:rsidRPr="00755CA3" w:rsidRDefault="00755CA3" w:rsidP="00BF15A2">
            <w:pPr>
              <w:pStyle w:val="NoSpacing"/>
            </w:pPr>
            <w:r w:rsidRPr="00755CA3">
              <w:t>15</w:t>
            </w:r>
          </w:p>
        </w:tc>
        <w:tc>
          <w:tcPr>
            <w:tcW w:w="960" w:type="dxa"/>
            <w:shd w:val="clear" w:color="auto" w:fill="auto"/>
            <w:noWrap/>
            <w:vAlign w:val="bottom"/>
            <w:hideMark/>
          </w:tcPr>
          <w:p w14:paraId="2B22768F" w14:textId="77777777" w:rsidR="00755CA3" w:rsidRPr="00755CA3" w:rsidRDefault="00755CA3" w:rsidP="00BF15A2">
            <w:pPr>
              <w:pStyle w:val="NoSpacing"/>
            </w:pPr>
            <w:r w:rsidRPr="00755CA3">
              <w:t>3</w:t>
            </w:r>
          </w:p>
        </w:tc>
        <w:tc>
          <w:tcPr>
            <w:tcW w:w="1206" w:type="dxa"/>
            <w:shd w:val="clear" w:color="auto" w:fill="auto"/>
            <w:noWrap/>
            <w:vAlign w:val="bottom"/>
            <w:hideMark/>
          </w:tcPr>
          <w:p w14:paraId="642B0EDC" w14:textId="77777777" w:rsidR="00755CA3" w:rsidRPr="00755CA3" w:rsidRDefault="00755CA3" w:rsidP="00BF15A2">
            <w:pPr>
              <w:pStyle w:val="NoSpacing"/>
            </w:pPr>
            <w:r w:rsidRPr="00755CA3">
              <w:t>-z</w:t>
            </w:r>
          </w:p>
        </w:tc>
      </w:tr>
      <w:tr w:rsidR="00755CA3" w:rsidRPr="00755CA3" w14:paraId="381E4FA4" w14:textId="77777777" w:rsidTr="00755CA3">
        <w:trPr>
          <w:trHeight w:val="300"/>
          <w:jc w:val="center"/>
        </w:trPr>
        <w:tc>
          <w:tcPr>
            <w:tcW w:w="960" w:type="dxa"/>
            <w:shd w:val="clear" w:color="auto" w:fill="auto"/>
            <w:noWrap/>
            <w:vAlign w:val="bottom"/>
            <w:hideMark/>
          </w:tcPr>
          <w:p w14:paraId="2A26C7EF" w14:textId="77777777" w:rsidR="00755CA3" w:rsidRPr="00755CA3" w:rsidRDefault="00755CA3" w:rsidP="00BF15A2">
            <w:pPr>
              <w:pStyle w:val="NoSpacing"/>
            </w:pPr>
            <w:r w:rsidRPr="00755CA3">
              <w:t>16</w:t>
            </w:r>
          </w:p>
        </w:tc>
        <w:tc>
          <w:tcPr>
            <w:tcW w:w="960" w:type="dxa"/>
            <w:shd w:val="clear" w:color="auto" w:fill="auto"/>
            <w:noWrap/>
            <w:vAlign w:val="bottom"/>
            <w:hideMark/>
          </w:tcPr>
          <w:p w14:paraId="2CD0EA80" w14:textId="77777777" w:rsidR="00755CA3" w:rsidRPr="00755CA3" w:rsidRDefault="00755CA3" w:rsidP="00BF15A2">
            <w:pPr>
              <w:pStyle w:val="NoSpacing"/>
            </w:pPr>
            <w:r w:rsidRPr="00755CA3">
              <w:t>3</w:t>
            </w:r>
          </w:p>
        </w:tc>
        <w:tc>
          <w:tcPr>
            <w:tcW w:w="1206" w:type="dxa"/>
            <w:shd w:val="clear" w:color="auto" w:fill="auto"/>
            <w:noWrap/>
            <w:vAlign w:val="bottom"/>
            <w:hideMark/>
          </w:tcPr>
          <w:p w14:paraId="65C0FFB2" w14:textId="77777777" w:rsidR="00755CA3" w:rsidRPr="00755CA3" w:rsidRDefault="00755CA3" w:rsidP="00BF15A2">
            <w:pPr>
              <w:pStyle w:val="NoSpacing"/>
            </w:pPr>
            <w:r w:rsidRPr="00755CA3">
              <w:t>-y</w:t>
            </w:r>
          </w:p>
        </w:tc>
      </w:tr>
      <w:tr w:rsidR="00755CA3" w:rsidRPr="00755CA3" w14:paraId="4A190E93" w14:textId="77777777" w:rsidTr="00755CA3">
        <w:trPr>
          <w:trHeight w:val="300"/>
          <w:jc w:val="center"/>
        </w:trPr>
        <w:tc>
          <w:tcPr>
            <w:tcW w:w="960" w:type="dxa"/>
            <w:shd w:val="clear" w:color="auto" w:fill="auto"/>
            <w:noWrap/>
            <w:vAlign w:val="bottom"/>
            <w:hideMark/>
          </w:tcPr>
          <w:p w14:paraId="7DE229B4" w14:textId="77777777" w:rsidR="00755CA3" w:rsidRPr="00755CA3" w:rsidRDefault="00755CA3" w:rsidP="00BF15A2">
            <w:pPr>
              <w:pStyle w:val="NoSpacing"/>
            </w:pPr>
            <w:r w:rsidRPr="00755CA3">
              <w:t>17</w:t>
            </w:r>
          </w:p>
        </w:tc>
        <w:tc>
          <w:tcPr>
            <w:tcW w:w="960" w:type="dxa"/>
            <w:shd w:val="clear" w:color="auto" w:fill="auto"/>
            <w:noWrap/>
            <w:vAlign w:val="bottom"/>
            <w:hideMark/>
          </w:tcPr>
          <w:p w14:paraId="6866EA81" w14:textId="77777777" w:rsidR="00755CA3" w:rsidRPr="00755CA3" w:rsidRDefault="00755CA3" w:rsidP="00BF15A2">
            <w:pPr>
              <w:pStyle w:val="NoSpacing"/>
            </w:pPr>
            <w:r w:rsidRPr="00755CA3">
              <w:t>5</w:t>
            </w:r>
          </w:p>
        </w:tc>
        <w:tc>
          <w:tcPr>
            <w:tcW w:w="1206" w:type="dxa"/>
            <w:shd w:val="clear" w:color="auto" w:fill="auto"/>
            <w:noWrap/>
            <w:vAlign w:val="bottom"/>
            <w:hideMark/>
          </w:tcPr>
          <w:p w14:paraId="4F3F4A7A" w14:textId="77777777" w:rsidR="00755CA3" w:rsidRPr="00755CA3" w:rsidRDefault="00755CA3" w:rsidP="00BF15A2">
            <w:pPr>
              <w:pStyle w:val="NoSpacing"/>
            </w:pPr>
            <w:r w:rsidRPr="00755CA3">
              <w:t>z</w:t>
            </w:r>
          </w:p>
        </w:tc>
      </w:tr>
      <w:tr w:rsidR="00755CA3" w:rsidRPr="00755CA3" w14:paraId="3A622376" w14:textId="77777777" w:rsidTr="00755CA3">
        <w:trPr>
          <w:trHeight w:val="300"/>
          <w:jc w:val="center"/>
        </w:trPr>
        <w:tc>
          <w:tcPr>
            <w:tcW w:w="960" w:type="dxa"/>
            <w:shd w:val="clear" w:color="auto" w:fill="auto"/>
            <w:noWrap/>
            <w:vAlign w:val="bottom"/>
            <w:hideMark/>
          </w:tcPr>
          <w:p w14:paraId="3E50F897" w14:textId="77777777" w:rsidR="00755CA3" w:rsidRPr="00755CA3" w:rsidRDefault="00755CA3" w:rsidP="00BF15A2">
            <w:pPr>
              <w:pStyle w:val="NoSpacing"/>
            </w:pPr>
            <w:r w:rsidRPr="00755CA3">
              <w:t>18</w:t>
            </w:r>
          </w:p>
        </w:tc>
        <w:tc>
          <w:tcPr>
            <w:tcW w:w="960" w:type="dxa"/>
            <w:shd w:val="clear" w:color="auto" w:fill="auto"/>
            <w:noWrap/>
            <w:vAlign w:val="bottom"/>
            <w:hideMark/>
          </w:tcPr>
          <w:p w14:paraId="435D94DE" w14:textId="77777777" w:rsidR="00755CA3" w:rsidRPr="00755CA3" w:rsidRDefault="00755CA3" w:rsidP="00BF15A2">
            <w:pPr>
              <w:pStyle w:val="NoSpacing"/>
            </w:pPr>
            <w:r w:rsidRPr="00755CA3">
              <w:t>5</w:t>
            </w:r>
          </w:p>
        </w:tc>
        <w:tc>
          <w:tcPr>
            <w:tcW w:w="1206" w:type="dxa"/>
            <w:shd w:val="clear" w:color="auto" w:fill="auto"/>
            <w:noWrap/>
            <w:vAlign w:val="bottom"/>
            <w:hideMark/>
          </w:tcPr>
          <w:p w14:paraId="7824E495" w14:textId="77777777" w:rsidR="00755CA3" w:rsidRPr="00755CA3" w:rsidRDefault="00755CA3" w:rsidP="00BF15A2">
            <w:pPr>
              <w:pStyle w:val="NoSpacing"/>
            </w:pPr>
            <w:r w:rsidRPr="00755CA3">
              <w:t>-y</w:t>
            </w:r>
          </w:p>
        </w:tc>
      </w:tr>
      <w:tr w:rsidR="00755CA3" w:rsidRPr="00755CA3" w14:paraId="4D936083" w14:textId="77777777" w:rsidTr="00755CA3">
        <w:trPr>
          <w:trHeight w:val="300"/>
          <w:jc w:val="center"/>
        </w:trPr>
        <w:tc>
          <w:tcPr>
            <w:tcW w:w="960" w:type="dxa"/>
            <w:shd w:val="clear" w:color="auto" w:fill="auto"/>
            <w:noWrap/>
            <w:vAlign w:val="bottom"/>
            <w:hideMark/>
          </w:tcPr>
          <w:p w14:paraId="61F73F1B" w14:textId="77777777" w:rsidR="00755CA3" w:rsidRPr="00755CA3" w:rsidRDefault="00755CA3" w:rsidP="00BF15A2">
            <w:pPr>
              <w:pStyle w:val="NoSpacing"/>
            </w:pPr>
            <w:r w:rsidRPr="00755CA3">
              <w:t>19</w:t>
            </w:r>
          </w:p>
        </w:tc>
        <w:tc>
          <w:tcPr>
            <w:tcW w:w="960" w:type="dxa"/>
            <w:shd w:val="clear" w:color="auto" w:fill="auto"/>
            <w:noWrap/>
            <w:vAlign w:val="bottom"/>
            <w:hideMark/>
          </w:tcPr>
          <w:p w14:paraId="653CD575" w14:textId="77777777" w:rsidR="00755CA3" w:rsidRPr="00755CA3" w:rsidRDefault="00755CA3" w:rsidP="00BF15A2">
            <w:pPr>
              <w:pStyle w:val="NoSpacing"/>
            </w:pPr>
            <w:r w:rsidRPr="00755CA3">
              <w:t>2</w:t>
            </w:r>
          </w:p>
        </w:tc>
        <w:tc>
          <w:tcPr>
            <w:tcW w:w="1206" w:type="dxa"/>
            <w:shd w:val="clear" w:color="auto" w:fill="auto"/>
            <w:noWrap/>
            <w:vAlign w:val="bottom"/>
            <w:hideMark/>
          </w:tcPr>
          <w:p w14:paraId="69D5E3DC" w14:textId="77777777" w:rsidR="00755CA3" w:rsidRPr="00755CA3" w:rsidRDefault="00755CA3" w:rsidP="00BF15A2">
            <w:pPr>
              <w:pStyle w:val="NoSpacing"/>
            </w:pPr>
            <w:r w:rsidRPr="00755CA3">
              <w:t>-z</w:t>
            </w:r>
          </w:p>
        </w:tc>
      </w:tr>
      <w:tr w:rsidR="00755CA3" w:rsidRPr="00755CA3" w14:paraId="2EE3DADF" w14:textId="77777777" w:rsidTr="00755CA3">
        <w:trPr>
          <w:trHeight w:val="300"/>
          <w:jc w:val="center"/>
        </w:trPr>
        <w:tc>
          <w:tcPr>
            <w:tcW w:w="960" w:type="dxa"/>
            <w:shd w:val="clear" w:color="auto" w:fill="auto"/>
            <w:noWrap/>
            <w:vAlign w:val="bottom"/>
            <w:hideMark/>
          </w:tcPr>
          <w:p w14:paraId="29EA6984" w14:textId="77777777" w:rsidR="00755CA3" w:rsidRPr="00755CA3" w:rsidRDefault="00755CA3" w:rsidP="00BF15A2">
            <w:pPr>
              <w:pStyle w:val="NoSpacing"/>
            </w:pPr>
            <w:r w:rsidRPr="00755CA3">
              <w:t>20</w:t>
            </w:r>
          </w:p>
        </w:tc>
        <w:tc>
          <w:tcPr>
            <w:tcW w:w="960" w:type="dxa"/>
            <w:shd w:val="clear" w:color="auto" w:fill="auto"/>
            <w:noWrap/>
            <w:vAlign w:val="bottom"/>
            <w:hideMark/>
          </w:tcPr>
          <w:p w14:paraId="20DEC452" w14:textId="77777777" w:rsidR="00755CA3" w:rsidRPr="00755CA3" w:rsidRDefault="00755CA3" w:rsidP="00BF15A2">
            <w:pPr>
              <w:pStyle w:val="NoSpacing"/>
            </w:pPr>
            <w:r w:rsidRPr="00755CA3">
              <w:t>2</w:t>
            </w:r>
          </w:p>
        </w:tc>
        <w:tc>
          <w:tcPr>
            <w:tcW w:w="1206" w:type="dxa"/>
            <w:shd w:val="clear" w:color="auto" w:fill="auto"/>
            <w:noWrap/>
            <w:vAlign w:val="bottom"/>
            <w:hideMark/>
          </w:tcPr>
          <w:p w14:paraId="1D1E4FB0" w14:textId="77777777" w:rsidR="00755CA3" w:rsidRPr="00755CA3" w:rsidRDefault="00755CA3" w:rsidP="00BF15A2">
            <w:pPr>
              <w:pStyle w:val="NoSpacing"/>
            </w:pPr>
            <w:r w:rsidRPr="00755CA3">
              <w:t>-y</w:t>
            </w:r>
          </w:p>
        </w:tc>
      </w:tr>
      <w:tr w:rsidR="00755CA3" w:rsidRPr="00755CA3" w14:paraId="10E95CB8" w14:textId="77777777" w:rsidTr="00755CA3">
        <w:trPr>
          <w:trHeight w:val="300"/>
          <w:jc w:val="center"/>
        </w:trPr>
        <w:tc>
          <w:tcPr>
            <w:tcW w:w="960" w:type="dxa"/>
            <w:shd w:val="clear" w:color="auto" w:fill="auto"/>
            <w:noWrap/>
            <w:vAlign w:val="bottom"/>
            <w:hideMark/>
          </w:tcPr>
          <w:p w14:paraId="76505EDF" w14:textId="77777777" w:rsidR="00755CA3" w:rsidRPr="00755CA3" w:rsidRDefault="00755CA3" w:rsidP="00BF15A2">
            <w:pPr>
              <w:pStyle w:val="NoSpacing"/>
            </w:pPr>
            <w:r w:rsidRPr="00755CA3">
              <w:t>21</w:t>
            </w:r>
          </w:p>
        </w:tc>
        <w:tc>
          <w:tcPr>
            <w:tcW w:w="960" w:type="dxa"/>
            <w:shd w:val="clear" w:color="auto" w:fill="auto"/>
            <w:noWrap/>
            <w:vAlign w:val="bottom"/>
            <w:hideMark/>
          </w:tcPr>
          <w:p w14:paraId="04548441" w14:textId="77777777" w:rsidR="00755CA3" w:rsidRPr="00755CA3" w:rsidRDefault="00755CA3" w:rsidP="00BF15A2">
            <w:pPr>
              <w:pStyle w:val="NoSpacing"/>
            </w:pPr>
            <w:r w:rsidRPr="00755CA3">
              <w:t>4</w:t>
            </w:r>
          </w:p>
        </w:tc>
        <w:tc>
          <w:tcPr>
            <w:tcW w:w="1206" w:type="dxa"/>
            <w:shd w:val="clear" w:color="auto" w:fill="auto"/>
            <w:noWrap/>
            <w:vAlign w:val="bottom"/>
            <w:hideMark/>
          </w:tcPr>
          <w:p w14:paraId="3962732D" w14:textId="77777777" w:rsidR="00755CA3" w:rsidRPr="00755CA3" w:rsidRDefault="00755CA3" w:rsidP="00BF15A2">
            <w:pPr>
              <w:pStyle w:val="NoSpacing"/>
            </w:pPr>
            <w:r w:rsidRPr="00755CA3">
              <w:t>z</w:t>
            </w:r>
          </w:p>
        </w:tc>
      </w:tr>
      <w:tr w:rsidR="00755CA3" w:rsidRPr="00755CA3" w14:paraId="776B91B5" w14:textId="77777777" w:rsidTr="00755CA3">
        <w:trPr>
          <w:trHeight w:val="300"/>
          <w:jc w:val="center"/>
        </w:trPr>
        <w:tc>
          <w:tcPr>
            <w:tcW w:w="960" w:type="dxa"/>
            <w:shd w:val="clear" w:color="auto" w:fill="auto"/>
            <w:noWrap/>
            <w:vAlign w:val="bottom"/>
            <w:hideMark/>
          </w:tcPr>
          <w:p w14:paraId="6396AA60" w14:textId="77777777" w:rsidR="00755CA3" w:rsidRPr="00755CA3" w:rsidRDefault="00755CA3" w:rsidP="00BF15A2">
            <w:pPr>
              <w:pStyle w:val="NoSpacing"/>
            </w:pPr>
            <w:r w:rsidRPr="00755CA3">
              <w:t>22</w:t>
            </w:r>
          </w:p>
        </w:tc>
        <w:tc>
          <w:tcPr>
            <w:tcW w:w="960" w:type="dxa"/>
            <w:shd w:val="clear" w:color="auto" w:fill="auto"/>
            <w:noWrap/>
            <w:vAlign w:val="bottom"/>
            <w:hideMark/>
          </w:tcPr>
          <w:p w14:paraId="2613132C" w14:textId="77777777" w:rsidR="00755CA3" w:rsidRPr="00755CA3" w:rsidRDefault="00755CA3" w:rsidP="00BF15A2">
            <w:pPr>
              <w:pStyle w:val="NoSpacing"/>
            </w:pPr>
            <w:r w:rsidRPr="00755CA3">
              <w:t>4</w:t>
            </w:r>
          </w:p>
        </w:tc>
        <w:tc>
          <w:tcPr>
            <w:tcW w:w="1206" w:type="dxa"/>
            <w:shd w:val="clear" w:color="auto" w:fill="auto"/>
            <w:noWrap/>
            <w:vAlign w:val="bottom"/>
            <w:hideMark/>
          </w:tcPr>
          <w:p w14:paraId="44D340D9" w14:textId="77777777" w:rsidR="00755CA3" w:rsidRPr="00755CA3" w:rsidRDefault="00755CA3" w:rsidP="00BF15A2">
            <w:pPr>
              <w:pStyle w:val="NoSpacing"/>
            </w:pPr>
            <w:r w:rsidRPr="00755CA3">
              <w:t>-y</w:t>
            </w:r>
          </w:p>
        </w:tc>
      </w:tr>
      <w:tr w:rsidR="00755CA3" w:rsidRPr="00755CA3" w14:paraId="2B1FCC0C" w14:textId="77777777" w:rsidTr="00755CA3">
        <w:trPr>
          <w:trHeight w:val="300"/>
          <w:jc w:val="center"/>
        </w:trPr>
        <w:tc>
          <w:tcPr>
            <w:tcW w:w="960" w:type="dxa"/>
            <w:shd w:val="clear" w:color="auto" w:fill="auto"/>
            <w:noWrap/>
            <w:vAlign w:val="bottom"/>
            <w:hideMark/>
          </w:tcPr>
          <w:p w14:paraId="74C1B487" w14:textId="77777777" w:rsidR="00755CA3" w:rsidRPr="00755CA3" w:rsidRDefault="00755CA3" w:rsidP="00BF15A2">
            <w:pPr>
              <w:pStyle w:val="NoSpacing"/>
            </w:pPr>
            <w:r w:rsidRPr="00755CA3">
              <w:t>23</w:t>
            </w:r>
          </w:p>
        </w:tc>
        <w:tc>
          <w:tcPr>
            <w:tcW w:w="960" w:type="dxa"/>
            <w:shd w:val="clear" w:color="auto" w:fill="auto"/>
            <w:noWrap/>
            <w:vAlign w:val="bottom"/>
            <w:hideMark/>
          </w:tcPr>
          <w:p w14:paraId="46378EE9" w14:textId="77777777" w:rsidR="00755CA3" w:rsidRPr="00755CA3" w:rsidRDefault="00755CA3" w:rsidP="00BF15A2">
            <w:pPr>
              <w:pStyle w:val="NoSpacing"/>
            </w:pPr>
            <w:r w:rsidRPr="00755CA3">
              <w:t>1</w:t>
            </w:r>
          </w:p>
        </w:tc>
        <w:tc>
          <w:tcPr>
            <w:tcW w:w="1206" w:type="dxa"/>
            <w:shd w:val="clear" w:color="auto" w:fill="auto"/>
            <w:noWrap/>
            <w:vAlign w:val="bottom"/>
            <w:hideMark/>
          </w:tcPr>
          <w:p w14:paraId="5C7261D3" w14:textId="77777777" w:rsidR="00755CA3" w:rsidRPr="00755CA3" w:rsidRDefault="00755CA3" w:rsidP="00BF15A2">
            <w:pPr>
              <w:pStyle w:val="NoSpacing"/>
            </w:pPr>
            <w:r w:rsidRPr="00755CA3">
              <w:t>-z</w:t>
            </w:r>
          </w:p>
        </w:tc>
      </w:tr>
      <w:tr w:rsidR="00755CA3" w:rsidRPr="00755CA3" w14:paraId="21202660" w14:textId="77777777" w:rsidTr="00755CA3">
        <w:trPr>
          <w:trHeight w:val="300"/>
          <w:jc w:val="center"/>
        </w:trPr>
        <w:tc>
          <w:tcPr>
            <w:tcW w:w="960" w:type="dxa"/>
            <w:shd w:val="clear" w:color="auto" w:fill="auto"/>
            <w:noWrap/>
            <w:vAlign w:val="bottom"/>
            <w:hideMark/>
          </w:tcPr>
          <w:p w14:paraId="7DE3AD84" w14:textId="77777777" w:rsidR="00755CA3" w:rsidRPr="00755CA3" w:rsidRDefault="00755CA3" w:rsidP="00BF15A2">
            <w:pPr>
              <w:pStyle w:val="NoSpacing"/>
            </w:pPr>
            <w:r w:rsidRPr="00755CA3">
              <w:t>24</w:t>
            </w:r>
          </w:p>
        </w:tc>
        <w:tc>
          <w:tcPr>
            <w:tcW w:w="960" w:type="dxa"/>
            <w:shd w:val="clear" w:color="auto" w:fill="auto"/>
            <w:noWrap/>
            <w:vAlign w:val="bottom"/>
            <w:hideMark/>
          </w:tcPr>
          <w:p w14:paraId="228493E5" w14:textId="77777777" w:rsidR="00755CA3" w:rsidRPr="00755CA3" w:rsidRDefault="00755CA3" w:rsidP="00BF15A2">
            <w:pPr>
              <w:pStyle w:val="NoSpacing"/>
            </w:pPr>
            <w:r w:rsidRPr="00755CA3">
              <w:t>1</w:t>
            </w:r>
          </w:p>
        </w:tc>
        <w:tc>
          <w:tcPr>
            <w:tcW w:w="1206" w:type="dxa"/>
            <w:shd w:val="clear" w:color="auto" w:fill="auto"/>
            <w:noWrap/>
            <w:vAlign w:val="bottom"/>
            <w:hideMark/>
          </w:tcPr>
          <w:p w14:paraId="532A843E" w14:textId="77777777" w:rsidR="00755CA3" w:rsidRPr="00755CA3" w:rsidRDefault="00755CA3" w:rsidP="00BF15A2">
            <w:pPr>
              <w:pStyle w:val="NoSpacing"/>
            </w:pPr>
            <w:r w:rsidRPr="00755CA3">
              <w:t>-y</w:t>
            </w:r>
          </w:p>
        </w:tc>
      </w:tr>
      <w:tr w:rsidR="0057560F" w:rsidRPr="00755CA3" w14:paraId="7468A940" w14:textId="77777777" w:rsidTr="00755CA3">
        <w:trPr>
          <w:trHeight w:val="300"/>
          <w:jc w:val="center"/>
        </w:trPr>
        <w:tc>
          <w:tcPr>
            <w:tcW w:w="960" w:type="dxa"/>
            <w:shd w:val="clear" w:color="auto" w:fill="auto"/>
            <w:noWrap/>
            <w:vAlign w:val="bottom"/>
          </w:tcPr>
          <w:p w14:paraId="647E41CB" w14:textId="0EE55D82" w:rsidR="0057560F" w:rsidRPr="00755CA3" w:rsidRDefault="0057560F" w:rsidP="00BF15A2">
            <w:pPr>
              <w:pStyle w:val="NoSpacing"/>
            </w:pPr>
            <w:r>
              <w:t>25</w:t>
            </w:r>
          </w:p>
        </w:tc>
        <w:tc>
          <w:tcPr>
            <w:tcW w:w="960" w:type="dxa"/>
            <w:shd w:val="clear" w:color="auto" w:fill="auto"/>
            <w:noWrap/>
            <w:vAlign w:val="bottom"/>
          </w:tcPr>
          <w:p w14:paraId="5AAEFC36" w14:textId="6FAB47AC" w:rsidR="0057560F" w:rsidRPr="00755CA3" w:rsidRDefault="0057560F" w:rsidP="00BF15A2">
            <w:pPr>
              <w:pStyle w:val="NoSpacing"/>
            </w:pPr>
            <w:r>
              <w:t>HAMMER</w:t>
            </w:r>
          </w:p>
        </w:tc>
        <w:tc>
          <w:tcPr>
            <w:tcW w:w="1206" w:type="dxa"/>
            <w:shd w:val="clear" w:color="auto" w:fill="auto"/>
            <w:noWrap/>
            <w:vAlign w:val="bottom"/>
          </w:tcPr>
          <w:p w14:paraId="060E79F0" w14:textId="18E9918A" w:rsidR="0057560F" w:rsidRPr="00755CA3" w:rsidRDefault="0057560F" w:rsidP="00BF15A2">
            <w:pPr>
              <w:pStyle w:val="NoSpacing"/>
            </w:pPr>
            <w:r>
              <w:t>z</w:t>
            </w:r>
          </w:p>
        </w:tc>
      </w:tr>
    </w:tbl>
    <w:sdt>
      <w:sdtPr>
        <w:rPr>
          <w:rFonts w:eastAsia="Times New Roman" w:cs="Times New Roman"/>
          <w:color w:val="auto"/>
          <w:sz w:val="20"/>
          <w:szCs w:val="20"/>
        </w:rPr>
        <w:id w:val="1785543915"/>
        <w:docPartObj>
          <w:docPartGallery w:val="Bibliographies"/>
          <w:docPartUnique/>
        </w:docPartObj>
      </w:sdtPr>
      <w:sdtEndPr/>
      <w:sdtContent>
        <w:p w14:paraId="5B9673BD" w14:textId="3880833A" w:rsidR="002D088C" w:rsidRDefault="002D088C">
          <w:pPr>
            <w:pStyle w:val="Heading1"/>
          </w:pPr>
          <w:r>
            <w:t>References</w:t>
          </w:r>
        </w:p>
        <w:sdt>
          <w:sdtPr>
            <w:id w:val="-573587230"/>
            <w:bibliography/>
          </w:sdtPr>
          <w:sdtEndPr/>
          <w:sdtContent>
            <w:p w14:paraId="06D227B0" w14:textId="77777777" w:rsidR="0075336B" w:rsidRDefault="002D088C">
              <w:pPr>
                <w:rPr>
                  <w:rFonts w:asciiTheme="minorHAnsi" w:eastAsiaTheme="minorHAnsi" w:hAnsiTheme="minorHAnsi" w:cstheme="minorBidi"/>
                  <w:noProof/>
                  <w:sz w:val="22"/>
                  <w:szCs w:val="22"/>
                  <w:lang w:eastAsia="en-US"/>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05"/>
                <w:gridCol w:w="8621"/>
              </w:tblGrid>
              <w:tr w:rsidR="0075336B" w14:paraId="4099247F" w14:textId="77777777">
                <w:trPr>
                  <w:divId w:val="1308313998"/>
                  <w:tblCellSpacing w:w="15" w:type="dxa"/>
                </w:trPr>
                <w:tc>
                  <w:tcPr>
                    <w:tcW w:w="50" w:type="pct"/>
                    <w:hideMark/>
                  </w:tcPr>
                  <w:p w14:paraId="6CAD56DC" w14:textId="56E413A3" w:rsidR="0075336B" w:rsidRDefault="0075336B">
                    <w:pPr>
                      <w:pStyle w:val="Bibliography"/>
                      <w:rPr>
                        <w:noProof/>
                        <w:sz w:val="24"/>
                        <w:szCs w:val="24"/>
                      </w:rPr>
                    </w:pPr>
                    <w:r>
                      <w:rPr>
                        <w:noProof/>
                      </w:rPr>
                      <w:t xml:space="preserve">[1] </w:t>
                    </w:r>
                  </w:p>
                </w:tc>
                <w:tc>
                  <w:tcPr>
                    <w:tcW w:w="0" w:type="auto"/>
                    <w:hideMark/>
                  </w:tcPr>
                  <w:p w14:paraId="50EA1E4C" w14:textId="77777777" w:rsidR="0075336B" w:rsidRDefault="0075336B">
                    <w:pPr>
                      <w:pStyle w:val="Bibliography"/>
                      <w:rPr>
                        <w:noProof/>
                      </w:rPr>
                    </w:pPr>
                    <w:r>
                      <w:rPr>
                        <w:noProof/>
                      </w:rPr>
                      <w:t xml:space="preserve">R. J. Barthorpe, A. J. Hughes and P. Gardner, “A Forward Model Driven Structural Health Monitoring Paradigm: Damage Detection,” in </w:t>
                    </w:r>
                    <w:r>
                      <w:rPr>
                        <w:i/>
                        <w:iCs/>
                        <w:noProof/>
                      </w:rPr>
                      <w:t>Proceedings of the Society for Experimental Mechanics Series</w:t>
                    </w:r>
                    <w:r>
                      <w:rPr>
                        <w:noProof/>
                      </w:rPr>
                      <w:t xml:space="preserve">, Cham, 2022. </w:t>
                    </w:r>
                  </w:p>
                </w:tc>
              </w:tr>
            </w:tbl>
            <w:p w14:paraId="4E1A02A3" w14:textId="77777777" w:rsidR="0075336B" w:rsidRDefault="0075336B">
              <w:pPr>
                <w:divId w:val="1308313998"/>
                <w:rPr>
                  <w:noProof/>
                </w:rPr>
              </w:pPr>
            </w:p>
            <w:p w14:paraId="35E30BED" w14:textId="0349925C" w:rsidR="002D088C" w:rsidRDefault="002D088C">
              <w:r>
                <w:rPr>
                  <w:b/>
                  <w:bCs/>
                  <w:noProof/>
                </w:rPr>
                <w:fldChar w:fldCharType="end"/>
              </w:r>
            </w:p>
          </w:sdtContent>
        </w:sdt>
      </w:sdtContent>
    </w:sdt>
    <w:p w14:paraId="4B301131" w14:textId="423A71FF" w:rsidR="007B5020" w:rsidRPr="008D3D54" w:rsidRDefault="007B5020" w:rsidP="00B8500A"/>
    <w:sectPr w:rsidR="007B5020" w:rsidRPr="008D3D5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BAADCE" w14:textId="77777777" w:rsidR="00716CDA" w:rsidRDefault="00716CDA" w:rsidP="004240EB">
      <w:r>
        <w:separator/>
      </w:r>
    </w:p>
  </w:endnote>
  <w:endnote w:type="continuationSeparator" w:id="0">
    <w:p w14:paraId="75AB31A7" w14:textId="77777777" w:rsidR="00716CDA" w:rsidRDefault="00716CDA" w:rsidP="00424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C1590C" w14:textId="77777777" w:rsidR="00716CDA" w:rsidRDefault="00716CDA" w:rsidP="004240EB">
      <w:r>
        <w:separator/>
      </w:r>
    </w:p>
  </w:footnote>
  <w:footnote w:type="continuationSeparator" w:id="0">
    <w:p w14:paraId="1BCB2DFF" w14:textId="77777777" w:rsidR="00716CDA" w:rsidRDefault="00716CDA" w:rsidP="004240E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7F2E09"/>
    <w:multiLevelType w:val="hybridMultilevel"/>
    <w:tmpl w:val="76867A7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F22"/>
    <w:rsid w:val="00032872"/>
    <w:rsid w:val="000B1C0E"/>
    <w:rsid w:val="000F220C"/>
    <w:rsid w:val="00106696"/>
    <w:rsid w:val="00106C4C"/>
    <w:rsid w:val="001274EB"/>
    <w:rsid w:val="00190286"/>
    <w:rsid w:val="002262D3"/>
    <w:rsid w:val="002654B6"/>
    <w:rsid w:val="002D088C"/>
    <w:rsid w:val="004240EB"/>
    <w:rsid w:val="0057541B"/>
    <w:rsid w:val="0057560F"/>
    <w:rsid w:val="00593803"/>
    <w:rsid w:val="005C3721"/>
    <w:rsid w:val="005F4524"/>
    <w:rsid w:val="006129C8"/>
    <w:rsid w:val="006347CD"/>
    <w:rsid w:val="006616C5"/>
    <w:rsid w:val="00716CDA"/>
    <w:rsid w:val="00721182"/>
    <w:rsid w:val="0075336B"/>
    <w:rsid w:val="00755CA3"/>
    <w:rsid w:val="007B5020"/>
    <w:rsid w:val="007B7862"/>
    <w:rsid w:val="00813393"/>
    <w:rsid w:val="008D3D54"/>
    <w:rsid w:val="00910DCF"/>
    <w:rsid w:val="009225EC"/>
    <w:rsid w:val="00A144B0"/>
    <w:rsid w:val="00A53D8A"/>
    <w:rsid w:val="00A71C4C"/>
    <w:rsid w:val="00A9588D"/>
    <w:rsid w:val="00B56F22"/>
    <w:rsid w:val="00B8500A"/>
    <w:rsid w:val="00BE309C"/>
    <w:rsid w:val="00BF15A2"/>
    <w:rsid w:val="00BF3937"/>
    <w:rsid w:val="00C3180D"/>
    <w:rsid w:val="00C84266"/>
    <w:rsid w:val="00CE5768"/>
    <w:rsid w:val="00D05AA0"/>
    <w:rsid w:val="00D226AF"/>
    <w:rsid w:val="00D45344"/>
    <w:rsid w:val="00E30F35"/>
    <w:rsid w:val="00EC009E"/>
    <w:rsid w:val="00EC6828"/>
    <w:rsid w:val="00F309C9"/>
    <w:rsid w:val="00F46FA6"/>
    <w:rsid w:val="00FA75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32EB5"/>
  <w15:chartTrackingRefBased/>
  <w15:docId w15:val="{9D7E5428-4C46-434F-97B0-C608D6CF7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40EB"/>
    <w:pPr>
      <w:spacing w:before="120" w:after="120" w:line="240" w:lineRule="auto"/>
      <w:jc w:val="both"/>
    </w:pPr>
    <w:rPr>
      <w:rFonts w:ascii="Consolas" w:eastAsia="Times New Roman" w:hAnsi="Consolas" w:cs="Times New Roman"/>
      <w:sz w:val="20"/>
      <w:szCs w:val="20"/>
      <w:lang w:eastAsia="en-GB"/>
    </w:rPr>
  </w:style>
  <w:style w:type="paragraph" w:styleId="Heading1">
    <w:name w:val="heading 1"/>
    <w:basedOn w:val="Normal"/>
    <w:next w:val="Normal"/>
    <w:link w:val="Heading1Char"/>
    <w:uiPriority w:val="9"/>
    <w:qFormat/>
    <w:rsid w:val="004240EB"/>
    <w:pPr>
      <w:keepNext/>
      <w:keepLines/>
      <w:spacing w:before="240"/>
      <w:outlineLvl w:val="0"/>
    </w:pPr>
    <w:rPr>
      <w:rFonts w:eastAsiaTheme="majorEastAsia"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E309C"/>
    <w:pPr>
      <w:keepNext/>
      <w:keepLines/>
      <w:spacing w:before="40" w:after="0"/>
      <w:outlineLvl w:val="1"/>
    </w:pPr>
    <w:rPr>
      <w:rFonts w:eastAsiaTheme="majorEastAsia"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40EB"/>
    <w:rPr>
      <w:rFonts w:ascii="Consolas" w:eastAsiaTheme="majorEastAsia" w:hAnsi="Consolas" w:cstheme="majorBidi"/>
      <w:color w:val="2E74B5" w:themeColor="accent1" w:themeShade="BF"/>
      <w:sz w:val="32"/>
      <w:szCs w:val="32"/>
    </w:rPr>
  </w:style>
  <w:style w:type="character" w:customStyle="1" w:styleId="Heading2Char">
    <w:name w:val="Heading 2 Char"/>
    <w:basedOn w:val="DefaultParagraphFont"/>
    <w:link w:val="Heading2"/>
    <w:uiPriority w:val="9"/>
    <w:rsid w:val="00BE309C"/>
    <w:rPr>
      <w:rFonts w:ascii="Consolas" w:eastAsiaTheme="majorEastAsia" w:hAnsi="Consolas" w:cstheme="majorBidi"/>
      <w:color w:val="2E74B5" w:themeColor="accent1" w:themeShade="BF"/>
      <w:sz w:val="26"/>
      <w:szCs w:val="26"/>
      <w:lang w:eastAsia="en-GB"/>
    </w:rPr>
  </w:style>
  <w:style w:type="paragraph" w:styleId="Title">
    <w:name w:val="Title"/>
    <w:basedOn w:val="Normal"/>
    <w:next w:val="Normal"/>
    <w:link w:val="TitleChar"/>
    <w:uiPriority w:val="10"/>
    <w:qFormat/>
    <w:rsid w:val="004240EB"/>
    <w:pPr>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4240EB"/>
    <w:rPr>
      <w:rFonts w:ascii="Consolas" w:eastAsiaTheme="majorEastAsia" w:hAnsi="Consolas" w:cstheme="majorBidi"/>
      <w:spacing w:val="-10"/>
      <w:kern w:val="28"/>
      <w:sz w:val="56"/>
      <w:szCs w:val="56"/>
    </w:rPr>
  </w:style>
  <w:style w:type="paragraph" w:styleId="Subtitle">
    <w:name w:val="Subtitle"/>
    <w:basedOn w:val="Normal"/>
    <w:next w:val="Normal"/>
    <w:link w:val="SubtitleChar"/>
    <w:uiPriority w:val="11"/>
    <w:qFormat/>
    <w:rsid w:val="004240E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4240EB"/>
    <w:rPr>
      <w:rFonts w:ascii="Consolas" w:eastAsiaTheme="minorEastAsia" w:hAnsi="Consolas"/>
      <w:color w:val="5A5A5A" w:themeColor="text1" w:themeTint="A5"/>
      <w:spacing w:val="15"/>
    </w:rPr>
  </w:style>
  <w:style w:type="paragraph" w:styleId="Caption">
    <w:name w:val="caption"/>
    <w:basedOn w:val="Normal"/>
    <w:next w:val="Normal"/>
    <w:uiPriority w:val="35"/>
    <w:unhideWhenUsed/>
    <w:qFormat/>
    <w:rsid w:val="004240EB"/>
    <w:pPr>
      <w:spacing w:after="200"/>
      <w:jc w:val="center"/>
    </w:pPr>
    <w:rPr>
      <w:i/>
      <w:iCs/>
      <w:color w:val="44546A" w:themeColor="text2"/>
      <w:sz w:val="18"/>
      <w:szCs w:val="18"/>
    </w:rPr>
  </w:style>
  <w:style w:type="paragraph" w:styleId="ListParagraph">
    <w:name w:val="List Paragraph"/>
    <w:basedOn w:val="Normal"/>
    <w:uiPriority w:val="34"/>
    <w:qFormat/>
    <w:rsid w:val="004240EB"/>
    <w:pPr>
      <w:ind w:left="720"/>
      <w:contextualSpacing/>
    </w:pPr>
  </w:style>
  <w:style w:type="character" w:styleId="Hyperlink">
    <w:name w:val="Hyperlink"/>
    <w:basedOn w:val="DefaultParagraphFont"/>
    <w:uiPriority w:val="99"/>
    <w:unhideWhenUsed/>
    <w:rsid w:val="004240EB"/>
    <w:rPr>
      <w:color w:val="0563C1" w:themeColor="hyperlink"/>
      <w:u w:val="single"/>
    </w:rPr>
  </w:style>
  <w:style w:type="character" w:styleId="CommentReference">
    <w:name w:val="annotation reference"/>
    <w:basedOn w:val="DefaultParagraphFont"/>
    <w:uiPriority w:val="99"/>
    <w:semiHidden/>
    <w:unhideWhenUsed/>
    <w:rsid w:val="008D3D54"/>
    <w:rPr>
      <w:sz w:val="16"/>
      <w:szCs w:val="16"/>
    </w:rPr>
  </w:style>
  <w:style w:type="paragraph" w:styleId="BalloonText">
    <w:name w:val="Balloon Text"/>
    <w:basedOn w:val="Normal"/>
    <w:link w:val="BalloonTextChar"/>
    <w:uiPriority w:val="99"/>
    <w:semiHidden/>
    <w:unhideWhenUsed/>
    <w:rsid w:val="008D3D5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3D54"/>
    <w:rPr>
      <w:rFonts w:ascii="Segoe UI" w:eastAsia="Times New Roman" w:hAnsi="Segoe UI" w:cs="Segoe UI"/>
      <w:sz w:val="18"/>
      <w:szCs w:val="18"/>
      <w:lang w:eastAsia="en-GB"/>
    </w:rPr>
  </w:style>
  <w:style w:type="paragraph" w:styleId="NoSpacing">
    <w:name w:val="No Spacing"/>
    <w:uiPriority w:val="1"/>
    <w:qFormat/>
    <w:rsid w:val="00BF15A2"/>
    <w:pPr>
      <w:spacing w:after="0" w:line="240" w:lineRule="auto"/>
      <w:jc w:val="both"/>
    </w:pPr>
    <w:rPr>
      <w:rFonts w:ascii="Consolas" w:eastAsia="Times New Roman" w:hAnsi="Consolas" w:cs="Times New Roman"/>
      <w:sz w:val="20"/>
      <w:szCs w:val="20"/>
      <w:lang w:eastAsia="en-GB"/>
    </w:rPr>
  </w:style>
  <w:style w:type="paragraph" w:styleId="Bibliography">
    <w:name w:val="Bibliography"/>
    <w:basedOn w:val="Normal"/>
    <w:next w:val="Normal"/>
    <w:uiPriority w:val="37"/>
    <w:unhideWhenUsed/>
    <w:rsid w:val="002D08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3952531">
      <w:bodyDiv w:val="1"/>
      <w:marLeft w:val="0"/>
      <w:marRight w:val="0"/>
      <w:marTop w:val="0"/>
      <w:marBottom w:val="0"/>
      <w:divBdr>
        <w:top w:val="none" w:sz="0" w:space="0" w:color="auto"/>
        <w:left w:val="none" w:sz="0" w:space="0" w:color="auto"/>
        <w:bottom w:val="none" w:sz="0" w:space="0" w:color="auto"/>
        <w:right w:val="none" w:sz="0" w:space="0" w:color="auto"/>
      </w:divBdr>
    </w:div>
    <w:div w:id="995765837">
      <w:bodyDiv w:val="1"/>
      <w:marLeft w:val="0"/>
      <w:marRight w:val="0"/>
      <w:marTop w:val="0"/>
      <w:marBottom w:val="0"/>
      <w:divBdr>
        <w:top w:val="none" w:sz="0" w:space="0" w:color="auto"/>
        <w:left w:val="none" w:sz="0" w:space="0" w:color="auto"/>
        <w:bottom w:val="none" w:sz="0" w:space="0" w:color="auto"/>
        <w:right w:val="none" w:sz="0" w:space="0" w:color="auto"/>
      </w:divBdr>
    </w:div>
    <w:div w:id="1291130758">
      <w:bodyDiv w:val="1"/>
      <w:marLeft w:val="0"/>
      <w:marRight w:val="0"/>
      <w:marTop w:val="0"/>
      <w:marBottom w:val="0"/>
      <w:divBdr>
        <w:top w:val="none" w:sz="0" w:space="0" w:color="auto"/>
        <w:left w:val="none" w:sz="0" w:space="0" w:color="auto"/>
        <w:bottom w:val="none" w:sz="0" w:space="0" w:color="auto"/>
        <w:right w:val="none" w:sz="0" w:space="0" w:color="auto"/>
      </w:divBdr>
    </w:div>
    <w:div w:id="1308313998">
      <w:bodyDiv w:val="1"/>
      <w:marLeft w:val="0"/>
      <w:marRight w:val="0"/>
      <w:marTop w:val="0"/>
      <w:marBottom w:val="0"/>
      <w:divBdr>
        <w:top w:val="none" w:sz="0" w:space="0" w:color="auto"/>
        <w:left w:val="none" w:sz="0" w:space="0" w:color="auto"/>
        <w:bottom w:val="none" w:sz="0" w:space="0" w:color="auto"/>
        <w:right w:val="none" w:sz="0" w:space="0" w:color="auto"/>
      </w:divBdr>
    </w:div>
    <w:div w:id="1432896729">
      <w:bodyDiv w:val="1"/>
      <w:marLeft w:val="0"/>
      <w:marRight w:val="0"/>
      <w:marTop w:val="0"/>
      <w:marBottom w:val="0"/>
      <w:divBdr>
        <w:top w:val="none" w:sz="0" w:space="0" w:color="auto"/>
        <w:left w:val="none" w:sz="0" w:space="0" w:color="auto"/>
        <w:bottom w:val="none" w:sz="0" w:space="0" w:color="auto"/>
        <w:right w:val="none" w:sz="0" w:space="0" w:color="auto"/>
      </w:divBdr>
    </w:div>
    <w:div w:id="2019842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Bar22</b:Tag>
    <b:SourceType>ConferenceProceedings</b:SourceType>
    <b:Guid>{D35E2433-D876-4911-88E0-040D7BB52FEC}</b:Guid>
    <b:Title>A Forward Model Driven Structural Health Monitoring Paradigm: Damage Detection</b:Title>
    <b:Year>2022</b:Year>
    <b:Author>
      <b:Author>
        <b:NameList>
          <b:Person>
            <b:Last>Barthorpe</b:Last>
            <b:First>R.</b:First>
            <b:Middle>J.</b:Middle>
          </b:Person>
          <b:Person>
            <b:Last>Hughes</b:Last>
            <b:First>A.</b:First>
            <b:Middle>J.</b:Middle>
          </b:Person>
          <b:Person>
            <b:Last>Gardner</b:Last>
            <b:First>P.</b:First>
          </b:Person>
        </b:NameList>
      </b:Author>
    </b:Author>
    <b:ConferenceName>Proceedings of the Society for Experimental Mechanics Series</b:ConferenceName>
    <b:City>Cham</b:City>
    <b:RefOrder>1</b:RefOrder>
  </b:Source>
</b:Sources>
</file>

<file path=customXml/itemProps1.xml><?xml version="1.0" encoding="utf-8"?>
<ds:datastoreItem xmlns:ds="http://schemas.openxmlformats.org/officeDocument/2006/customXml" ds:itemID="{6286F1EC-C692-49EC-B87E-8C4A2DD2D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6</Pages>
  <Words>1634</Words>
  <Characters>9319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mep19jsw</dc:creator>
  <cp:keywords/>
  <dc:description/>
  <cp:lastModifiedBy>mep19jsw</cp:lastModifiedBy>
  <cp:revision>33</cp:revision>
  <dcterms:created xsi:type="dcterms:W3CDTF">2023-10-26T09:58:00Z</dcterms:created>
  <dcterms:modified xsi:type="dcterms:W3CDTF">2023-11-08T10:49:00Z</dcterms:modified>
</cp:coreProperties>
</file>