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1 reference coded [ 0.36% Coverage]</w:t>
      </w:r>
    </w:p>
    <w:p>
      <w:pPr>
        <w:pStyle w:val="TextBody"/>
        <w:bidi w:val="0"/>
        <w:spacing w:before="178" w:after="178"/>
        <w:ind w:left="178" w:right="178" w:hanging="0"/>
        <w:jc w:val="left"/>
        <w:rPr>
          <w:highlight w:val="lightGray"/>
        </w:rPr>
      </w:pPr>
      <w:r>
        <w:rPr>
          <w:highlight w:val="lightGray"/>
        </w:rPr>
        <w:t>Reference 1 - 0.36% Coverage</w:t>
      </w:r>
    </w:p>
    <w:p>
      <w:pPr>
        <w:pStyle w:val="TextBody"/>
        <w:bidi w:val="0"/>
        <w:spacing w:before="0" w:after="0"/>
        <w:jc w:val="left"/>
        <w:rPr/>
      </w:pPr>
      <w:r>
        <w:rPr/>
        <w:t>(c) contributing to reinforcing the global health emergency preparedness and response architecture.</w:t>
      </w:r>
    </w:p>
    <w:p>
      <w:pPr>
        <w:pStyle w:val="TextBody"/>
        <w:bidi w:val="0"/>
        <w:spacing w:before="178" w:after="178"/>
        <w:ind w:left="178" w:right="178" w:hanging="0"/>
        <w:jc w:val="left"/>
        <w:rPr>
          <w:highlight w:val="lightGray"/>
        </w:rPr>
      </w:pPr>
      <w:r>
        <w:rPr>
          <w:highlight w:val="lightGray"/>
        </w:rPr>
        <w:t>Files\\Communication from the Commission - § 3 references coded [ 5.28% Coverage]</w:t>
      </w:r>
    </w:p>
    <w:p>
      <w:pPr>
        <w:pStyle w:val="TextBody"/>
        <w:bidi w:val="0"/>
        <w:spacing w:before="178" w:after="178"/>
        <w:ind w:left="178" w:right="178" w:hanging="0"/>
        <w:jc w:val="left"/>
        <w:rPr>
          <w:highlight w:val="lightGray"/>
        </w:rPr>
      </w:pPr>
      <w:r>
        <w:rPr>
          <w:highlight w:val="lightGray"/>
        </w:rPr>
        <w:t>Reference 1 - 0.11% Coverage</w:t>
      </w:r>
    </w:p>
    <w:p>
      <w:pPr>
        <w:pStyle w:val="TextBody"/>
        <w:bidi w:val="0"/>
        <w:spacing w:before="0" w:after="0"/>
        <w:jc w:val="left"/>
        <w:rPr/>
      </w:pPr>
      <w:r>
        <w:rPr/>
        <w:t>To contribute to reinforcing the global health emergency preparedness and response architecture.</w:t>
      </w:r>
    </w:p>
    <w:p>
      <w:pPr>
        <w:pStyle w:val="TextBody"/>
        <w:bidi w:val="0"/>
        <w:spacing w:before="178" w:after="178"/>
        <w:ind w:left="178" w:right="178" w:hanging="0"/>
        <w:jc w:val="left"/>
        <w:rPr>
          <w:highlight w:val="lightGray"/>
        </w:rPr>
      </w:pPr>
      <w:r>
        <w:rPr>
          <w:highlight w:val="lightGray"/>
        </w:rPr>
        <w:t>Reference 2 - 4.25% Coverage</w:t>
      </w:r>
    </w:p>
    <w:p>
      <w:pPr>
        <w:pStyle w:val="TextBody"/>
        <w:bidi w:val="0"/>
        <w:spacing w:before="0" w:after="0"/>
        <w:jc w:val="left"/>
        <w:rPr/>
      </w:pPr>
      <w:r>
        <w:rPr/>
        <w:t xml:space="preserve">5. THE INTERNATIONAL DIMENSION </w:t>
        <w:br/>
        <w:t xml:space="preserve">COVID-19 has clearly demonstrated that unilateral responses to health emergencies are limited in reach and results. Coordination and cooperation within and beyond Europe are necessary to build up resilience and to provide timely and appropriate responses to potential health crises in the future. In line with the principles that the European Union has committed </w:t>
        <w:br/>
        <w:t xml:space="preserve">21 COM(2021) 380 final, 15 June 2021. 9 </w:t>
        <w:br/>
        <w:t xml:space="preserve">to through the Rome Declaration22, the setting up of HERA will contribute, in coordination with the European External Action Service, to strengthening the global health security architecture for preparedness, prevention, detection of, and response and recovery to health emergencies. </w:t>
        <w:br/>
        <w:t xml:space="preserve">EU and international engagement and cooperation are crucial in the context of the global nature of health threats and the global dynamics of the market for medical countermeasures. Pharmaceutical supply chains are increasingly interconnected and multinational. Disruptions caused by the COVID-19 crisis made evident the need to promote open, diversified and reliable global supply chains related to health emergencies, from raw materials to finished products. HERA will contribute to ensuring close collaboration with global partners to address international supply chain bottlenecks, remove unnecessary restrictions and expand global production capacity. Given interlocked supply chains, there is also a particular role to be played with the EU’s neighbours. </w:t>
        <w:br/>
        <w:t xml:space="preserve">In the event of a health emergency, HERA will facilitate cooperation with global actors to ensure availability and access of needed medical countermeasures both for the Union and for third countries. Furthermore, building on the current experience in Africa under the Team Europe Initiative for manufacturing of vaccines, medicines and health technologies, HERA’s work will contribute to supporting low- and middle-income countries to build response capacity and expertise in preparedness and response as well as develop local manufacturing and distribution capacities. This will be done in close cooperation with key partner institutions and initiatives.23 Based on exchange of evidence and experience from across the globe (e.g. training programmes, twinning partnerships, and expert exchanges), HERA will be able to provide targeted recommendations and funding to Member States, EU agencies and relevant stakeholders, to help addressing identified capacity gaps. </w:t>
        <w:br/>
        <w:t xml:space="preserve">By facilitating information, knowledge and data sharing, reducing duplication and capitalising on existing structures and efforts, HERA will contribute to reinforcing global surveillance and maximising access to relevant medical countermeasures. HERA will develop inclusive collaborations with comparable national structures and leverage synergies with international actors, as well as with security actors and other relevant sectors.24 It will also ensure coherence with other EU policies in areas like international trade of essential medical goods, notably the “Trade and Health Initiative” promoted by the EU in the World Trade Organisation. </w:t>
        <w:br/>
        <w:t>Finally, HERA will support access to EU-funded or EU-procured medical countermeasures and regional and local manufacturing capacities in third countries. This work will account for existing EU mechanisms for the distribution of medical countermeasures, including PPE and vaccines, through the Union Civil Protection Mechanism. HERA will, within its remit, develop proposals for funding agreements aiming to support third countries to strengthen their preparedness and response capacity, for example, to reinforce their surveillance capacities or their skilled workforce needed in times of a health crisis.</w:t>
      </w:r>
    </w:p>
    <w:p>
      <w:pPr>
        <w:pStyle w:val="TextBody"/>
        <w:bidi w:val="0"/>
        <w:spacing w:before="178" w:after="178"/>
        <w:ind w:left="178" w:right="178" w:hanging="0"/>
        <w:jc w:val="left"/>
        <w:rPr>
          <w:highlight w:val="lightGray"/>
        </w:rPr>
      </w:pPr>
      <w:r>
        <w:rPr>
          <w:highlight w:val="lightGray"/>
        </w:rPr>
        <w:t>Reference 3 - 0.91% Coverage</w:t>
      </w:r>
    </w:p>
    <w:p>
      <w:pPr>
        <w:pStyle w:val="TextBody"/>
        <w:bidi w:val="0"/>
        <w:spacing w:before="0" w:after="0"/>
        <w:jc w:val="left"/>
        <w:rPr/>
      </w:pPr>
      <w:r>
        <w:rPr/>
        <w:t xml:space="preserve">Key actions: v Ensure close collaboration with global partners to address international supply chain bottlenecks, removing unnecessarily restrictions, and expanding global production capacity. </w:t>
        <w:br/>
        <w:t xml:space="preserve">v Reinforce global surveillance. v Facilitate reinforced international cooperation and support for crisis-relevant medical countermeasures with global actors in case of health emergency to ensure their availability and accessibility both for the Union and for third countries. </w:t>
        <w:br/>
        <w:t xml:space="preserve">v Provide support to low- and middle-income countries to build expertise as well as develop local manufacturing and distribution capacities of relevant medical countermeasures. </w:t>
        <w:br/>
        <w:t>v Support access to EU-funded or EU-procured medical countermeasures and regional and local manufacturing capacities in third countries.</w:t>
      </w:r>
    </w:p>
    <w:p>
      <w:pPr>
        <w:pStyle w:val="TextBody"/>
        <w:bidi w:val="0"/>
        <w:spacing w:before="178" w:after="178"/>
        <w:ind w:left="178" w:right="178" w:hanging="0"/>
        <w:jc w:val="left"/>
        <w:rPr>
          <w:highlight w:val="lightGray"/>
        </w:rPr>
      </w:pPr>
      <w:r>
        <w:rPr>
          <w:highlight w:val="lightGray"/>
        </w:rPr>
        <w:t>Files\\Communication from the Commission Annex - § 2 references coded [ 5.36% Coverage]</w:t>
      </w:r>
    </w:p>
    <w:p>
      <w:pPr>
        <w:pStyle w:val="TextBody"/>
        <w:bidi w:val="0"/>
        <w:spacing w:before="178" w:after="178"/>
        <w:ind w:left="178" w:right="178" w:hanging="0"/>
        <w:jc w:val="left"/>
        <w:rPr>
          <w:highlight w:val="lightGray"/>
        </w:rPr>
      </w:pPr>
      <w:r>
        <w:rPr>
          <w:highlight w:val="lightGray"/>
        </w:rPr>
        <w:t>Reference 1 - 3.45% Coverage</w:t>
      </w:r>
    </w:p>
    <w:p>
      <w:pPr>
        <w:pStyle w:val="TextBody"/>
        <w:bidi w:val="0"/>
        <w:spacing w:before="0" w:after="0"/>
        <w:jc w:val="left"/>
        <w:rPr/>
      </w:pPr>
      <w:r>
        <w:rPr/>
        <w:t xml:space="preserve">• </w:t>
      </w:r>
      <w:r>
        <w:rPr/>
        <w:t xml:space="preserve">Global needs assessment for MCMs </w:t>
        <w:br/>
        <w:t xml:space="preserve">• Global surveillance capacities gaps assessment </w:t>
        <w:br/>
        <w:t xml:space="preserve">• Technical assistance for global capacity building </w:t>
        <w:br/>
        <w:t xml:space="preserve">• Global alliances with HERA like structures </w:t>
        <w:br/>
        <w:t xml:space="preserve">• Distribution of HERA procured/financed MCMs at international level </w:t>
        <w:br/>
        <w:t xml:space="preserve">INTERNATIONAL </w:t>
        <w:br/>
        <w:t xml:space="preserve">ENGAGEMENT AND REINFORCEMENT </w:t>
        <w:br/>
        <w:t>• International twinning partnerships, expert exchanges and centres of excellence</w:t>
      </w:r>
    </w:p>
    <w:p>
      <w:pPr>
        <w:pStyle w:val="TextBody"/>
        <w:bidi w:val="0"/>
        <w:spacing w:before="178" w:after="178"/>
        <w:ind w:left="178" w:right="178" w:hanging="0"/>
        <w:jc w:val="left"/>
        <w:rPr>
          <w:highlight w:val="lightGray"/>
        </w:rPr>
      </w:pPr>
      <w:r>
        <w:rPr>
          <w:highlight w:val="lightGray"/>
        </w:rPr>
        <w:t>Reference 2 - 1.91% Coverage</w:t>
      </w:r>
    </w:p>
    <w:p>
      <w:pPr>
        <w:pStyle w:val="TextBody"/>
        <w:bidi w:val="0"/>
        <w:spacing w:before="0" w:after="0"/>
        <w:jc w:val="left"/>
        <w:rPr/>
      </w:pPr>
      <w:r>
        <w:rPr/>
        <w:t xml:space="preserve">• </w:t>
      </w:r>
      <w:r>
        <w:rPr/>
        <w:t xml:space="preserve">Trigger activation of the necessary preparedness plan/cooperation with identified third countries as source countries </w:t>
        <w:br/>
        <w:t>• Cooperation on availability and deployment of crisis-relevant MCMs and raw materials</w:t>
      </w:r>
    </w:p>
    <w:p>
      <w:pPr>
        <w:pStyle w:val="TextBody"/>
        <w:bidi w:val="0"/>
        <w:spacing w:before="178" w:after="178"/>
        <w:ind w:left="178" w:right="178" w:hanging="0"/>
        <w:jc w:val="left"/>
        <w:rPr>
          <w:highlight w:val="lightGray"/>
        </w:rPr>
      </w:pPr>
      <w:r>
        <w:rPr>
          <w:highlight w:val="lightGray"/>
        </w:rPr>
        <w:t>Files\\Press Release - § 1 reference coded [ 0.94% Coverage]</w:t>
      </w:r>
    </w:p>
    <w:p>
      <w:pPr>
        <w:pStyle w:val="TextBody"/>
        <w:bidi w:val="0"/>
        <w:spacing w:before="178" w:after="178"/>
        <w:ind w:left="178" w:right="178" w:hanging="0"/>
        <w:jc w:val="left"/>
        <w:rPr>
          <w:highlight w:val="lightGray"/>
        </w:rPr>
      </w:pPr>
      <w:r>
        <w:rPr>
          <w:highlight w:val="lightGray"/>
        </w:rPr>
        <w:t>Reference 1 - 0.94% Coverage</w:t>
      </w:r>
    </w:p>
    <w:p>
      <w:pPr>
        <w:pStyle w:val="TextBody"/>
        <w:bidi w:val="0"/>
        <w:spacing w:before="0" w:after="0"/>
        <w:jc w:val="left"/>
        <w:rPr/>
      </w:pPr>
      <w:r>
        <w:rPr/>
        <w:t>HERA will work closely with other EU and national health agencies, industry and international partners to improve the EU’s readiness for health emergencies.</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