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[ 0.02%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1 - 0.02% Coverage</w:t>
      </w:r>
    </w:p>
    <w:p>
      <w:pPr>
        <w:pStyle w:val="TextBody"/>
        <w:bidi w:val="0"/>
        <w:spacing w:before="0" w:after="0"/>
        <w:jc w:val="left"/>
        <w:rPr/>
      </w:pPr>
      <w:r>
        <w:rPr/>
        <w:t>improved preparedness to protect workers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