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Files\\Commission Decision - § 9 references coded [ 7.13% Coverage]</w:t>
      </w:r>
    </w:p>
    <w:p>
      <w:pPr>
        <w:pStyle w:val="TextBody"/>
        <w:bidi w:val="0"/>
        <w:spacing w:before="178" w:after="178"/>
        <w:ind w:left="178" w:right="178" w:hanging="0"/>
        <w:jc w:val="left"/>
        <w:rPr>
          <w:highlight w:val="lightGray"/>
        </w:rPr>
      </w:pPr>
      <w:r>
        <w:rPr>
          <w:highlight w:val="lightGray"/>
        </w:rPr>
        <w:t>Reference 1 - 0.65% Coverage</w:t>
      </w:r>
    </w:p>
    <w:p>
      <w:pPr>
        <w:pStyle w:val="TextBody"/>
        <w:bidi w:val="0"/>
        <w:spacing w:before="0" w:after="0"/>
        <w:jc w:val="left"/>
        <w:rPr/>
      </w:pPr>
      <w:r>
        <w:rPr/>
        <w:t>The European Parliament, the European Council and the Council have called for proactive Union action and for ensuring preparedness and the ability to act jointly to respond to health crises.</w:t>
      </w:r>
    </w:p>
    <w:p>
      <w:pPr>
        <w:pStyle w:val="TextBody"/>
        <w:bidi w:val="0"/>
        <w:spacing w:before="178" w:after="178"/>
        <w:ind w:left="178" w:right="178" w:hanging="0"/>
        <w:jc w:val="left"/>
        <w:rPr>
          <w:highlight w:val="lightGray"/>
        </w:rPr>
      </w:pPr>
      <w:r>
        <w:rPr>
          <w:highlight w:val="lightGray"/>
        </w:rPr>
        <w:t>Reference 2 - 1.15% Coverage</w:t>
      </w:r>
    </w:p>
    <w:p>
      <w:pPr>
        <w:pStyle w:val="TextBody"/>
        <w:bidi w:val="0"/>
        <w:spacing w:before="0" w:after="0"/>
        <w:jc w:val="left"/>
        <w:rPr/>
      </w:pPr>
      <w:r>
        <w:rPr/>
        <w:t>The need to increase the effectiveness of preparedness and response to health emergencies requires the establishment of a dedicated central structure, HERA as a Commission service, complementary to and in synergy with the existing Union structures and mechanisms, including the Union’s crisis preparedness and management system.</w:t>
      </w:r>
    </w:p>
    <w:p>
      <w:pPr>
        <w:pStyle w:val="TextBody"/>
        <w:bidi w:val="0"/>
        <w:spacing w:before="178" w:after="178"/>
        <w:ind w:left="178" w:right="178" w:hanging="0"/>
        <w:jc w:val="left"/>
        <w:rPr>
          <w:highlight w:val="lightGray"/>
        </w:rPr>
      </w:pPr>
      <w:r>
        <w:rPr>
          <w:highlight w:val="lightGray"/>
        </w:rPr>
        <w:t>Reference 3 - 0.84% Coverage</w:t>
      </w:r>
    </w:p>
    <w:p>
      <w:pPr>
        <w:pStyle w:val="TextBody"/>
        <w:bidi w:val="0"/>
        <w:spacing w:before="0" w:after="0"/>
        <w:jc w:val="left"/>
        <w:rPr/>
      </w:pPr>
      <w:r>
        <w:rPr/>
        <w:t>As set out in the Communication on the Health Emergency Preparedness and Response Authority, HERA will be tasked with two functional ‘modes’: preparedness and crisis response following a recognition of a public health emergency at Union level,</w:t>
      </w:r>
    </w:p>
    <w:p>
      <w:pPr>
        <w:pStyle w:val="TextBody"/>
        <w:bidi w:val="0"/>
        <w:spacing w:before="178" w:after="178"/>
        <w:ind w:left="178" w:right="178" w:hanging="0"/>
        <w:jc w:val="left"/>
        <w:rPr>
          <w:highlight w:val="lightGray"/>
        </w:rPr>
      </w:pPr>
      <w:r>
        <w:rPr>
          <w:highlight w:val="lightGray"/>
        </w:rPr>
        <w:t>Reference 4 - 1.24% Coverage</w:t>
      </w:r>
    </w:p>
    <w:p>
      <w:pPr>
        <w:pStyle w:val="TextBody"/>
        <w:bidi w:val="0"/>
        <w:spacing w:before="0" w:after="0"/>
        <w:jc w:val="left"/>
        <w:rPr/>
      </w:pPr>
      <w:r>
        <w:rPr/>
        <w:t xml:space="preserve">HERA shall work to improve preparedness and response to serious cross-border threats in the area of medical countermeasures, in particular by: </w:t>
        <w:br/>
        <w:t xml:space="preserve">(a) </w:t>
        <w:br/>
        <w:t>strengthening health security coordination within the Union during preparedness and crisis response times, and bringing together Member States, the industry and the relevant stakeholders in a common effort;</w:t>
      </w:r>
    </w:p>
    <w:p>
      <w:pPr>
        <w:pStyle w:val="TextBody"/>
        <w:bidi w:val="0"/>
        <w:spacing w:before="178" w:after="178"/>
        <w:ind w:left="178" w:right="178" w:hanging="0"/>
        <w:jc w:val="left"/>
        <w:rPr>
          <w:highlight w:val="lightGray"/>
        </w:rPr>
      </w:pPr>
      <w:r>
        <w:rPr>
          <w:highlight w:val="lightGray"/>
        </w:rPr>
        <w:t>Reference 5 - 0.59% Coverage</w:t>
      </w:r>
    </w:p>
    <w:p>
      <w:pPr>
        <w:pStyle w:val="TextBody"/>
        <w:bidi w:val="0"/>
        <w:spacing w:before="0" w:after="0"/>
        <w:jc w:val="left"/>
        <w:rPr/>
      </w:pPr>
      <w:r>
        <w:rPr/>
        <w:t xml:space="preserve">(f) </w:t>
        <w:br/>
        <w:t xml:space="preserve">increasing stockpiling capacity of medical countermeasures; </w:t>
        <w:br/>
        <w:t>strengthening knowledge and skills in preparedness and response related to medical countermeasures.</w:t>
      </w:r>
    </w:p>
    <w:p>
      <w:pPr>
        <w:pStyle w:val="TextBody"/>
        <w:bidi w:val="0"/>
        <w:spacing w:before="178" w:after="178"/>
        <w:ind w:left="178" w:right="178" w:hanging="0"/>
        <w:jc w:val="left"/>
        <w:rPr>
          <w:highlight w:val="lightGray"/>
        </w:rPr>
      </w:pPr>
      <w:r>
        <w:rPr>
          <w:highlight w:val="lightGray"/>
        </w:rPr>
        <w:t>Reference 6 - 0.25% Coverage</w:t>
      </w:r>
    </w:p>
    <w:p>
      <w:pPr>
        <w:pStyle w:val="TextBody"/>
        <w:bidi w:val="0"/>
        <w:spacing w:before="0" w:after="0"/>
        <w:jc w:val="left"/>
        <w:rPr/>
      </w:pPr>
      <w:r>
        <w:rPr/>
        <w:t>These tasks shall be exercised in close cooperation with Member States.</w:t>
      </w:r>
    </w:p>
    <w:p>
      <w:pPr>
        <w:pStyle w:val="TextBody"/>
        <w:bidi w:val="0"/>
        <w:spacing w:before="178" w:after="178"/>
        <w:ind w:left="178" w:right="178" w:hanging="0"/>
        <w:jc w:val="left"/>
        <w:rPr>
          <w:highlight w:val="lightGray"/>
        </w:rPr>
      </w:pPr>
      <w:r>
        <w:rPr>
          <w:highlight w:val="lightGray"/>
        </w:rPr>
        <w:t>Reference 7 - 0.64% Coverage</w:t>
      </w:r>
    </w:p>
    <w:p>
      <w:pPr>
        <w:pStyle w:val="TextBody"/>
        <w:bidi w:val="0"/>
        <w:spacing w:before="0" w:after="0"/>
        <w:jc w:val="left"/>
        <w:rPr/>
      </w:pPr>
      <w:r>
        <w:rPr/>
        <w:t xml:space="preserve">(a) </w:t>
        <w:br/>
        <w:t>the functions of HERA within the Union’s crisis preparedness and response management, research and innovation as well as industrial strategy in the area of medical countermeasures;</w:t>
      </w:r>
    </w:p>
    <w:p>
      <w:pPr>
        <w:pStyle w:val="TextBody"/>
        <w:bidi w:val="0"/>
        <w:spacing w:before="178" w:after="178"/>
        <w:ind w:left="178" w:right="178" w:hanging="0"/>
        <w:jc w:val="left"/>
        <w:rPr>
          <w:highlight w:val="lightGray"/>
        </w:rPr>
      </w:pPr>
      <w:r>
        <w:rPr>
          <w:highlight w:val="lightGray"/>
        </w:rPr>
        <w:t>Reference 8 - 0.40% Coverage</w:t>
      </w:r>
    </w:p>
    <w:p>
      <w:pPr>
        <w:pStyle w:val="TextBody"/>
        <w:bidi w:val="0"/>
        <w:spacing w:before="0" w:after="0"/>
        <w:jc w:val="left"/>
        <w:rPr/>
      </w:pPr>
      <w:r>
        <w:rPr/>
        <w:t>support for capacity building for Member States for preparedness and response related to medical countermeasures;</w:t>
      </w:r>
    </w:p>
    <w:p>
      <w:pPr>
        <w:pStyle w:val="TextBody"/>
        <w:bidi w:val="0"/>
        <w:spacing w:before="178" w:after="178"/>
        <w:ind w:left="178" w:right="178" w:hanging="0"/>
        <w:jc w:val="left"/>
        <w:rPr>
          <w:highlight w:val="lightGray"/>
        </w:rPr>
      </w:pPr>
      <w:r>
        <w:rPr>
          <w:highlight w:val="lightGray"/>
        </w:rPr>
        <w:t>Reference 9 - 1.37% Coverage</w:t>
      </w:r>
    </w:p>
    <w:p>
      <w:pPr>
        <w:pStyle w:val="TextBody"/>
        <w:bidi w:val="0"/>
        <w:spacing w:before="0" w:after="0"/>
        <w:jc w:val="left"/>
        <w:rPr/>
      </w:pPr>
      <w:r>
        <w:rPr/>
        <w:t xml:space="preserve">The HERA Advisory Forum (‘Forum’) shall constitute a mechanism for an exchange of information on preparedness and response in the area of medical countermeasures and the pooling of knowledge. It shall ensure close cooperation between HERA and </w:t>
        <w:br/>
        <w:t xml:space="preserve">EN 5 EN </w:t>
        <w:br/>
        <w:t>the competent bodies in the Member States, in particular on the planning and implementation of scientific, health and industrial activities of HERA.</w:t>
      </w:r>
    </w:p>
    <w:p>
      <w:pPr>
        <w:pStyle w:val="TextBody"/>
        <w:bidi w:val="0"/>
        <w:spacing w:before="178" w:after="178"/>
        <w:ind w:left="178" w:right="178" w:hanging="0"/>
        <w:jc w:val="left"/>
        <w:rPr>
          <w:highlight w:val="lightGray"/>
        </w:rPr>
      </w:pPr>
      <w:r>
        <w:rPr>
          <w:highlight w:val="lightGray"/>
        </w:rPr>
        <w:t>Files\\Communication from the Commission - § 5 references coded [ 3.13% Coverage]</w:t>
      </w:r>
    </w:p>
    <w:p>
      <w:pPr>
        <w:pStyle w:val="TextBody"/>
        <w:bidi w:val="0"/>
        <w:spacing w:before="178" w:after="178"/>
        <w:ind w:left="178" w:right="178" w:hanging="0"/>
        <w:jc w:val="left"/>
        <w:rPr>
          <w:highlight w:val="lightGray"/>
        </w:rPr>
      </w:pPr>
      <w:r>
        <w:rPr>
          <w:highlight w:val="lightGray"/>
        </w:rPr>
        <w:t>Reference 1 - 0.25% Coverage</w:t>
      </w:r>
    </w:p>
    <w:p>
      <w:pPr>
        <w:pStyle w:val="TextBody"/>
        <w:bidi w:val="0"/>
        <w:spacing w:before="0" w:after="0"/>
        <w:jc w:val="left"/>
        <w:rPr/>
      </w:pPr>
      <w:r>
        <w:rPr/>
        <w:t>This Communication sets out a key step to make the EU better prepared and more able to respond, as a way to ensure that the EU and Member States can work together to bring a major step forward in the health security of citizens.</w:t>
      </w:r>
    </w:p>
    <w:p>
      <w:pPr>
        <w:pStyle w:val="TextBody"/>
        <w:bidi w:val="0"/>
        <w:spacing w:before="178" w:after="178"/>
        <w:ind w:left="178" w:right="178" w:hanging="0"/>
        <w:jc w:val="left"/>
        <w:rPr>
          <w:highlight w:val="lightGray"/>
        </w:rPr>
      </w:pPr>
      <w:r>
        <w:rPr>
          <w:highlight w:val="lightGray"/>
        </w:rPr>
        <w:t>Reference 2 - 0.24% Coverage</w:t>
      </w:r>
    </w:p>
    <w:p>
      <w:pPr>
        <w:pStyle w:val="TextBody"/>
        <w:bidi w:val="0"/>
        <w:spacing w:before="0" w:after="0"/>
        <w:jc w:val="left"/>
        <w:rPr/>
      </w:pPr>
      <w:r>
        <w:rPr/>
        <w:t>To strengthen health security coordination within the Union during preparedness and crisis response times, and bringing together the Member States, the industry and the relevant stakeholders in a common effort;</w:t>
      </w:r>
    </w:p>
    <w:p>
      <w:pPr>
        <w:pStyle w:val="TextBody"/>
        <w:bidi w:val="0"/>
        <w:spacing w:before="178" w:after="178"/>
        <w:ind w:left="178" w:right="178" w:hanging="0"/>
        <w:jc w:val="left"/>
        <w:rPr>
          <w:highlight w:val="lightGray"/>
        </w:rPr>
      </w:pPr>
      <w:r>
        <w:rPr>
          <w:highlight w:val="lightGray"/>
        </w:rPr>
        <w:t>Reference 3 - 0.26% Coverage</w:t>
      </w:r>
    </w:p>
    <w:p>
      <w:pPr>
        <w:pStyle w:val="TextBody"/>
        <w:bidi w:val="0"/>
        <w:spacing w:before="0" w:after="0"/>
        <w:jc w:val="left"/>
        <w:rPr/>
      </w:pPr>
      <w:r>
        <w:rPr/>
        <w:t>HERA should mean that the EU and Member States work together to analyse and define threats and strategic approaches, coordinating priorities so that the resources devoted to preparedness and response are as effective as possible.</w:t>
      </w:r>
    </w:p>
    <w:p>
      <w:pPr>
        <w:pStyle w:val="TextBody"/>
        <w:bidi w:val="0"/>
        <w:spacing w:before="178" w:after="178"/>
        <w:ind w:left="178" w:right="178" w:hanging="0"/>
        <w:jc w:val="left"/>
        <w:rPr>
          <w:highlight w:val="lightGray"/>
        </w:rPr>
      </w:pPr>
      <w:r>
        <w:rPr>
          <w:highlight w:val="lightGray"/>
        </w:rPr>
        <w:t>Reference 4 - 0.31% Coverage</w:t>
      </w:r>
    </w:p>
    <w:p>
      <w:pPr>
        <w:pStyle w:val="TextBody"/>
        <w:bidi w:val="0"/>
        <w:spacing w:before="0" w:after="0"/>
        <w:jc w:val="left"/>
        <w:rPr/>
      </w:pPr>
      <w:r>
        <w:rPr/>
        <w:t>In the “crisis phase”, HERA will be able to draw on stronger powers for swift decision-making and implementation of emergency measures. Its actions in both phases will be aimed at ensuring swift access to safe and effective medical countermeasures and at the scale needed.</w:t>
      </w:r>
    </w:p>
    <w:p>
      <w:pPr>
        <w:pStyle w:val="TextBody"/>
        <w:bidi w:val="0"/>
        <w:spacing w:before="178" w:after="178"/>
        <w:ind w:left="178" w:right="178" w:hanging="0"/>
        <w:jc w:val="left"/>
        <w:rPr>
          <w:highlight w:val="lightGray"/>
        </w:rPr>
      </w:pPr>
      <w:r>
        <w:rPr>
          <w:highlight w:val="lightGray"/>
        </w:rPr>
        <w:t>Reference 5 - 2.07% Coverage</w:t>
      </w:r>
    </w:p>
    <w:p>
      <w:pPr>
        <w:pStyle w:val="TextBody"/>
        <w:bidi w:val="0"/>
        <w:spacing w:before="0" w:after="0"/>
        <w:jc w:val="left"/>
        <w:rPr/>
      </w:pPr>
      <w:r>
        <w:rPr/>
        <w:t xml:space="preserve">A key part of HERA’s role in the crisis phase will be to ensure the effective deployment of all the preparations taken in advance. </w:t>
        <w:br/>
        <w:t xml:space="preserve">In the crisis phase, HERA would shift into a different operational mode. To be able to work effectively, this must include swift decision-making and emergency measures. As announced in the Communication on the early lessons from the COVID-19 pandemic of 15 June 202121, the proposal for a Council Regulation accompanying this Communication lays down a framework of emergency measures. If a public health emergency is recognised at EU level, the Council, upon the proposal of the Commission, may adopt a regulation activating the emergency framework where that is appropriate to the economic situation. </w:t>
        <w:br/>
        <w:t xml:space="preserve">The Council activation of the emergency framework will also specify which of the following emergency measures, appropriate to the economic situation, should be implemented: </w:t>
        <w:br/>
        <w:t xml:space="preserve">• The establishment of a Health Crisis Board to coordinate urgent action in response to the crisis. The Health Crisis Board will be composed of the Commission and one representative from each Member State; other institutions and agencies should also be closely involved; </w:t>
        <w:br/>
        <w:t xml:space="preserve">• A mechanism for monitoring crisis-relevant countermeasures; • The procurement, purchase and manufacturing of crisis-relevant medical countermeasures and raw materials; </w:t>
        <w:br/>
        <w:t xml:space="preserve">• The activation of EU FAB facilities to make available reserved surge manufacturing capacities; </w:t>
        <w:br/>
        <w:t xml:space="preserve">• The activation of emergency research and innovation plans and the use of Union wide clinical trial networks and data sharing platforms; </w:t>
        <w:br/>
        <w:t xml:space="preserve">• The establishment of an inventory of crisis-relevant medical countermeasures production facilities and measures to ensure their aiming at increasing their production availability and supply in the EU; </w:t>
        <w:br/>
        <w:t>• The activation of emergency funding.</w:t>
      </w:r>
    </w:p>
    <w:p>
      <w:pPr>
        <w:pStyle w:val="TextBody"/>
        <w:bidi w:val="0"/>
        <w:spacing w:before="178" w:after="178"/>
        <w:ind w:left="178" w:right="178" w:hanging="0"/>
        <w:jc w:val="left"/>
        <w:rPr>
          <w:highlight w:val="lightGray"/>
        </w:rPr>
      </w:pPr>
      <w:r>
        <w:rPr>
          <w:highlight w:val="lightGray"/>
        </w:rPr>
        <w:t>Files\\Communication from the Commission Annex - § 1 reference coded [ 0.23% Coverage]</w:t>
      </w:r>
    </w:p>
    <w:p>
      <w:pPr>
        <w:pStyle w:val="TextBody"/>
        <w:bidi w:val="0"/>
        <w:spacing w:before="178" w:after="178"/>
        <w:ind w:left="178" w:right="178" w:hanging="0"/>
        <w:jc w:val="left"/>
        <w:rPr>
          <w:highlight w:val="lightGray"/>
        </w:rPr>
      </w:pPr>
      <w:r>
        <w:rPr>
          <w:highlight w:val="lightGray"/>
        </w:rPr>
        <w:t>Reference 1 - 0.23% Coverage</w:t>
      </w:r>
    </w:p>
    <w:p>
      <w:pPr>
        <w:pStyle w:val="TextBody"/>
        <w:bidi w:val="0"/>
        <w:spacing w:before="0" w:after="0"/>
        <w:jc w:val="left"/>
        <w:rPr/>
      </w:pPr>
      <w:r>
        <w:rPr/>
        <w:t xml:space="preserve">• </w:t>
      </w:r>
      <w:r>
        <w:rPr/>
        <w:t>Consequence management</w:t>
      </w:r>
    </w:p>
    <w:p>
      <w:pPr>
        <w:pStyle w:val="TextBody"/>
        <w:bidi w:val="0"/>
        <w:spacing w:before="178" w:after="178"/>
        <w:ind w:left="178" w:right="178" w:hanging="0"/>
        <w:jc w:val="left"/>
        <w:rPr>
          <w:highlight w:val="lightGray"/>
        </w:rPr>
      </w:pPr>
      <w:r>
        <w:rPr>
          <w:highlight w:val="lightGray"/>
        </w:rPr>
        <w:t>Files\\Press Release - § 4 references coded [ 15.69% Coverage]</w:t>
      </w:r>
    </w:p>
    <w:p>
      <w:pPr>
        <w:pStyle w:val="TextBody"/>
        <w:bidi w:val="0"/>
        <w:spacing w:before="178" w:after="178"/>
        <w:ind w:left="178" w:right="178" w:hanging="0"/>
        <w:jc w:val="left"/>
        <w:rPr>
          <w:highlight w:val="lightGray"/>
        </w:rPr>
      </w:pPr>
      <w:r>
        <w:rPr>
          <w:highlight w:val="lightGray"/>
        </w:rPr>
        <w:t>Reference 1 - 1.93% Coverage</w:t>
      </w:r>
    </w:p>
    <w:p>
      <w:pPr>
        <w:pStyle w:val="TextBody"/>
        <w:bidi w:val="0"/>
        <w:spacing w:before="0" w:after="0"/>
        <w:jc w:val="left"/>
        <w:rPr/>
      </w:pPr>
      <w:r>
        <w:rPr/>
        <w:t>Today, the European Commission is launching the European Health Emergency preparedness and Response Authority (HERA) to prevent, detect, and rapidly respond to health emergencies. HERA will anticipate threats and potential health crises, through intelligence gathering and building the necessary response capacities</w:t>
      </w:r>
    </w:p>
    <w:p>
      <w:pPr>
        <w:pStyle w:val="TextBody"/>
        <w:bidi w:val="0"/>
        <w:spacing w:before="178" w:after="178"/>
        <w:ind w:left="178" w:right="178" w:hanging="0"/>
        <w:jc w:val="left"/>
        <w:rPr>
          <w:highlight w:val="lightGray"/>
        </w:rPr>
      </w:pPr>
      <w:r>
        <w:rPr>
          <w:highlight w:val="lightGray"/>
        </w:rPr>
        <w:t>Reference 2 - 5.71% Coverage</w:t>
      </w:r>
    </w:p>
    <w:p>
      <w:pPr>
        <w:pStyle w:val="TextBody"/>
        <w:bidi w:val="0"/>
        <w:spacing w:before="0" w:after="0"/>
        <w:jc w:val="left"/>
        <w:rPr/>
      </w:pPr>
      <w:r>
        <w:rPr/>
        <w:t xml:space="preserve">During a health crisis: emergency response </w:t>
        <w:br/>
        <w:t xml:space="preserve">In case a public health emergency at EU level is declared, HERA can quickly switch to emergency operations, including swift decision making and the activation of emergency measures, under the steer of a high-level Health Crisis Board. It will activate emergency funding and launch mechanisms for monitoring, new targeted development, procurement and purchase of medical countermeasures and raw materials. </w:t>
        <w:br/>
        <w:t xml:space="preserve">The EU FAB facilities, a network of ever warm production capacities for vaccines and medicines manufacturing, will be set in motion to make available reserved surge manufacturing capacities, as well as emergency research and innovation plans in dialogue with Member States. </w:t>
        <w:br/>
        <w:t>The EU production of medical countermeasures will be boosted and an inventory will be established of production facilities, raw materials, consumables, equipment and infrastructure in order to have a clear overview of EU capacities.</w:t>
      </w:r>
    </w:p>
    <w:p>
      <w:pPr>
        <w:pStyle w:val="TextBody"/>
        <w:bidi w:val="0"/>
        <w:spacing w:before="178" w:after="178"/>
        <w:ind w:left="178" w:right="178" w:hanging="0"/>
        <w:jc w:val="left"/>
        <w:rPr>
          <w:highlight w:val="lightGray"/>
        </w:rPr>
      </w:pPr>
      <w:r>
        <w:rPr>
          <w:highlight w:val="lightGray"/>
        </w:rPr>
        <w:t>Reference 3 - 3.57% Coverage</w:t>
      </w:r>
    </w:p>
    <w:p>
      <w:pPr>
        <w:pStyle w:val="TextBody"/>
        <w:bidi w:val="0"/>
        <w:spacing w:before="0" w:after="0"/>
        <w:jc w:val="left"/>
        <w:rPr/>
      </w:pPr>
      <w:r>
        <w:rPr/>
        <w:t>Vice-President for Promoting the European Way of Life, Margaritis Schinas, said: “HERA has a clear mission: ensuring the availability, access and distribution of medical countermeasures in the Union. HERA is the EU’s response for both anticipating and managing emergencies. HERA will have the clout and budget to work with industry, medical experts, researchers and our global partners to make sure critical equipment, medicines and vaccines are swiftly available when and as necessary. We now know: To fight the COVID-19 pandemic and future health emergencies, cooperation is the only way forward.”</w:t>
      </w:r>
    </w:p>
    <w:p>
      <w:pPr>
        <w:pStyle w:val="TextBody"/>
        <w:bidi w:val="0"/>
        <w:spacing w:before="178" w:after="178"/>
        <w:ind w:left="178" w:right="178" w:hanging="0"/>
        <w:jc w:val="left"/>
        <w:rPr>
          <w:highlight w:val="lightGray"/>
        </w:rPr>
      </w:pPr>
      <w:r>
        <w:rPr>
          <w:highlight w:val="lightGray"/>
        </w:rPr>
        <w:t>Reference 4 - 4.48% Coverage</w:t>
      </w:r>
    </w:p>
    <w:p>
      <w:pPr>
        <w:pStyle w:val="TextBody"/>
        <w:bidi w:val="0"/>
        <w:spacing w:before="0" w:after="0"/>
        <w:jc w:val="left"/>
        <w:rPr/>
      </w:pPr>
      <w:r>
        <w:rPr/>
        <w:t>Stella Kyriakides, Commissioner for Health and Food Safety, said: “HERA is a crucial centerpiece of a strong European Health Union. With HERA we will be able to anticipate threats through horizon scanning, coordinate our actions to respond in a timely fashion through the development, procurement, and distribution of critical medical countermeasures at EU level. It is a unique health security structure allowing us to be ahead of the curve. Health security is becoming a collective endeavor in the EU. After almost two years of a devastating pandemic, HERA is a symbol of the mindset-shift on health policy that we should all rally behind – it is when we act together that we are stronger and able to make a real difference for the health security of our citizens.”</w:t>
      </w:r>
    </w:p>
    <w:p>
      <w:pPr>
        <w:pStyle w:val="TextBody"/>
        <w:bidi w:val="0"/>
        <w:spacing w:before="178" w:after="178"/>
        <w:ind w:left="178" w:right="178" w:hanging="0"/>
        <w:jc w:val="left"/>
        <w:rPr>
          <w:highlight w:val="lightGray"/>
        </w:rPr>
      </w:pPr>
      <w:r>
        <w:rPr>
          <w:highlight w:val="lightGray"/>
        </w:rPr>
        <w:t>Files\\Proposal for a Council Regulation - § 13 references coded [ 1.45% Coverage]</w:t>
      </w:r>
    </w:p>
    <w:p>
      <w:pPr>
        <w:pStyle w:val="TextBody"/>
        <w:bidi w:val="0"/>
        <w:spacing w:before="178" w:after="178"/>
        <w:ind w:left="178" w:right="178" w:hanging="0"/>
        <w:jc w:val="left"/>
        <w:rPr>
          <w:highlight w:val="lightGray"/>
        </w:rPr>
      </w:pPr>
      <w:r>
        <w:rPr>
          <w:highlight w:val="lightGray"/>
        </w:rPr>
        <w:t>Reference 1 - 0.02% Coverage</w:t>
      </w:r>
    </w:p>
    <w:p>
      <w:pPr>
        <w:pStyle w:val="TextBody"/>
        <w:bidi w:val="0"/>
        <w:spacing w:before="0" w:after="0"/>
        <w:jc w:val="left"/>
        <w:rPr/>
      </w:pPr>
      <w:r>
        <w:rPr/>
        <w:t>to better react in times of health crisis.</w:t>
      </w:r>
    </w:p>
    <w:p>
      <w:pPr>
        <w:pStyle w:val="TextBody"/>
        <w:bidi w:val="0"/>
        <w:spacing w:before="178" w:after="178"/>
        <w:ind w:left="178" w:right="178" w:hanging="0"/>
        <w:jc w:val="left"/>
        <w:rPr>
          <w:highlight w:val="lightGray"/>
        </w:rPr>
      </w:pPr>
      <w:r>
        <w:rPr>
          <w:highlight w:val="lightGray"/>
        </w:rPr>
        <w:t>Reference 2 - 0.09% Coverage</w:t>
      </w:r>
    </w:p>
    <w:p>
      <w:pPr>
        <w:pStyle w:val="TextBody"/>
        <w:bidi w:val="0"/>
        <w:spacing w:before="0" w:after="0"/>
        <w:jc w:val="left"/>
        <w:rPr/>
      </w:pPr>
      <w:r>
        <w:rPr/>
        <w:t>solidifying the Union’s capacity to support timely availability and accessibility for crisis-relevant medical countermeasures during a public health emergency.</w:t>
      </w:r>
    </w:p>
    <w:p>
      <w:pPr>
        <w:pStyle w:val="TextBody"/>
        <w:bidi w:val="0"/>
        <w:spacing w:before="178" w:after="178"/>
        <w:ind w:left="178" w:right="178" w:hanging="0"/>
        <w:jc w:val="left"/>
        <w:rPr>
          <w:highlight w:val="lightGray"/>
        </w:rPr>
      </w:pPr>
      <w:r>
        <w:rPr>
          <w:highlight w:val="lightGray"/>
        </w:rPr>
        <w:t>Reference 3 - 0.03% Coverage</w:t>
      </w:r>
    </w:p>
    <w:p>
      <w:pPr>
        <w:pStyle w:val="TextBody"/>
        <w:bidi w:val="0"/>
        <w:spacing w:before="0" w:after="0"/>
        <w:jc w:val="left"/>
        <w:rPr/>
      </w:pPr>
      <w:r>
        <w:rPr/>
        <w:t>it reinforces the Union’s crisis management framework.</w:t>
      </w:r>
    </w:p>
    <w:p>
      <w:pPr>
        <w:pStyle w:val="TextBody"/>
        <w:bidi w:val="0"/>
        <w:spacing w:before="178" w:after="178"/>
        <w:ind w:left="178" w:right="178" w:hanging="0"/>
        <w:jc w:val="left"/>
        <w:rPr>
          <w:highlight w:val="lightGray"/>
        </w:rPr>
      </w:pPr>
      <w:r>
        <w:rPr>
          <w:highlight w:val="lightGray"/>
        </w:rPr>
        <w:t>Reference 4 - 0.13% Coverage</w:t>
      </w:r>
    </w:p>
    <w:p>
      <w:pPr>
        <w:pStyle w:val="TextBody"/>
        <w:bidi w:val="0"/>
        <w:spacing w:before="0" w:after="0"/>
        <w:jc w:val="left"/>
        <w:rPr/>
      </w:pPr>
      <w:r>
        <w:rPr/>
        <w:t>Unilateral action through Member State initiatives aiming to ensure the sufficient and timely availability and supply of crisis-relevant medical countermeasures runs the risk of increasing internal competition and suboptimal Union level response.</w:t>
      </w:r>
    </w:p>
    <w:p>
      <w:pPr>
        <w:pStyle w:val="TextBody"/>
        <w:bidi w:val="0"/>
        <w:spacing w:before="178" w:after="178"/>
        <w:ind w:left="178" w:right="178" w:hanging="0"/>
        <w:jc w:val="left"/>
        <w:rPr>
          <w:highlight w:val="lightGray"/>
        </w:rPr>
      </w:pPr>
      <w:r>
        <w:rPr>
          <w:highlight w:val="lightGray"/>
        </w:rPr>
        <w:t>Reference 5 - 0.13% Coverage</w:t>
      </w:r>
    </w:p>
    <w:p>
      <w:pPr>
        <w:pStyle w:val="TextBody"/>
        <w:bidi w:val="0"/>
        <w:spacing w:before="0" w:after="0"/>
        <w:jc w:val="left"/>
        <w:rPr/>
      </w:pPr>
      <w:r>
        <w:rPr/>
        <w:t>Where appropriate to the economic situation, a coordinated response at Union-level to ensure the availability and accessibility of crisis-relevant medical countermeasures can help avoiding uncoordinated investments across Member States.</w:t>
      </w:r>
    </w:p>
    <w:p>
      <w:pPr>
        <w:pStyle w:val="TextBody"/>
        <w:bidi w:val="0"/>
        <w:spacing w:before="178" w:after="178"/>
        <w:ind w:left="178" w:right="178" w:hanging="0"/>
        <w:jc w:val="left"/>
        <w:rPr>
          <w:highlight w:val="lightGray"/>
        </w:rPr>
      </w:pPr>
      <w:r>
        <w:rPr>
          <w:highlight w:val="lightGray"/>
        </w:rPr>
        <w:t>Reference 6 - 0.20% Coverage</w:t>
      </w:r>
    </w:p>
    <w:p>
      <w:pPr>
        <w:pStyle w:val="TextBody"/>
        <w:bidi w:val="0"/>
        <w:spacing w:before="0" w:after="0"/>
        <w:jc w:val="left"/>
        <w:rPr/>
      </w:pPr>
      <w:r>
        <w:rPr/>
        <w:t>need for the Union to increase its activities related to crisis-relevant medical countermeasures for preparedness and crisis management. Given the broadly shared view that there is a need for swift and effective response at Union level, the Commission proposes a set of emergency measures that can be activated in the event of health emergencies to ensure such a swift and effective response</w:t>
      </w:r>
    </w:p>
    <w:p>
      <w:pPr>
        <w:pStyle w:val="TextBody"/>
        <w:bidi w:val="0"/>
        <w:spacing w:before="178" w:after="178"/>
        <w:ind w:left="178" w:right="178" w:hanging="0"/>
        <w:jc w:val="left"/>
        <w:rPr>
          <w:highlight w:val="lightGray"/>
        </w:rPr>
      </w:pPr>
      <w:r>
        <w:rPr>
          <w:highlight w:val="lightGray"/>
        </w:rPr>
        <w:t>Reference 7 - 0.20% Coverage</w:t>
      </w:r>
    </w:p>
    <w:p>
      <w:pPr>
        <w:pStyle w:val="TextBody"/>
        <w:bidi w:val="0"/>
        <w:spacing w:before="0" w:after="0"/>
        <w:jc w:val="left"/>
        <w:rPr/>
      </w:pPr>
      <w:r>
        <w:rPr/>
        <w:t>the establishment of mechanisms for the monitoring, activation of emergency funding, procurement and purchase of crisis-relevant medical countermeasures and raw materials, including swift and solid assessment of supply chains and production capacity of manufacturers, possibly also by on-site visits ahead of the conclusion of advanced purchase agreement or innovation partnership;</w:t>
      </w:r>
    </w:p>
    <w:p>
      <w:pPr>
        <w:pStyle w:val="TextBody"/>
        <w:bidi w:val="0"/>
        <w:spacing w:before="178" w:after="178"/>
        <w:ind w:left="178" w:right="178" w:hanging="0"/>
        <w:jc w:val="left"/>
        <w:rPr>
          <w:highlight w:val="lightGray"/>
        </w:rPr>
      </w:pPr>
      <w:r>
        <w:rPr>
          <w:highlight w:val="lightGray"/>
        </w:rPr>
        <w:t>Reference 8 - 0.23% Coverage</w:t>
      </w:r>
    </w:p>
    <w:p>
      <w:pPr>
        <w:pStyle w:val="TextBody"/>
        <w:bidi w:val="0"/>
        <w:spacing w:before="0" w:after="0"/>
        <w:jc w:val="left"/>
        <w:rPr/>
      </w:pPr>
      <w:r>
        <w:rPr/>
        <w:t>the experience gained showed the need for a framework for ensuring the supply of crisis-relevant medical countermeasures of measures in the event of a public health emergency, in order to enable the Union to take measures that are necessary to ensure the sufficient and timely availability and supply of crisis-relevant medical countermeasures in the event of a public health emergency where that is appropriate to the economic situation</w:t>
      </w:r>
    </w:p>
    <w:p>
      <w:pPr>
        <w:pStyle w:val="TextBody"/>
        <w:bidi w:val="0"/>
        <w:spacing w:before="178" w:after="178"/>
        <w:ind w:left="178" w:right="178" w:hanging="0"/>
        <w:jc w:val="left"/>
        <w:rPr>
          <w:highlight w:val="lightGray"/>
        </w:rPr>
      </w:pPr>
      <w:r>
        <w:rPr>
          <w:highlight w:val="lightGray"/>
        </w:rPr>
        <w:t>Reference 9 - 0.09% Coverage</w:t>
      </w:r>
    </w:p>
    <w:p>
      <w:pPr>
        <w:pStyle w:val="TextBody"/>
        <w:bidi w:val="0"/>
        <w:spacing w:before="0" w:after="0"/>
        <w:jc w:val="left"/>
        <w:rPr/>
      </w:pPr>
      <w:r>
        <w:rPr/>
        <w:t>This should allow key actors and relevant infrastructure to be immediately ready for operation in times of public health emergencies, thereby reducing any delays.</w:t>
      </w:r>
    </w:p>
    <w:p>
      <w:pPr>
        <w:pStyle w:val="TextBody"/>
        <w:bidi w:val="0"/>
        <w:spacing w:before="178" w:after="178"/>
        <w:ind w:left="178" w:right="178" w:hanging="0"/>
        <w:jc w:val="left"/>
        <w:rPr>
          <w:highlight w:val="lightGray"/>
        </w:rPr>
      </w:pPr>
      <w:r>
        <w:rPr>
          <w:highlight w:val="lightGray"/>
        </w:rPr>
        <w:t>Reference 10 - 0.06% Coverage</w:t>
      </w:r>
    </w:p>
    <w:p>
      <w:pPr>
        <w:pStyle w:val="TextBody"/>
        <w:bidi w:val="0"/>
        <w:spacing w:before="0" w:after="0"/>
        <w:jc w:val="left"/>
        <w:rPr/>
      </w:pPr>
      <w:r>
        <w:rPr/>
        <w:t>Ensure timely availability and equitable access to medical countermeasures during a cross-border threat to health</w:t>
      </w:r>
    </w:p>
    <w:p>
      <w:pPr>
        <w:pStyle w:val="TextBody"/>
        <w:bidi w:val="0"/>
        <w:spacing w:before="178" w:after="178"/>
        <w:ind w:left="178" w:right="178" w:hanging="0"/>
        <w:jc w:val="left"/>
        <w:rPr>
          <w:highlight w:val="lightGray"/>
        </w:rPr>
      </w:pPr>
      <w:r>
        <w:rPr>
          <w:highlight w:val="lightGray"/>
        </w:rPr>
        <w:t>Reference 11 - 0.07% Coverage</w:t>
      </w:r>
    </w:p>
    <w:p>
      <w:pPr>
        <w:pStyle w:val="TextBody"/>
        <w:bidi w:val="0"/>
        <w:spacing w:before="0" w:after="0"/>
        <w:jc w:val="left"/>
        <w:rPr/>
      </w:pPr>
      <w:r>
        <w:rPr/>
        <w:t>Strengthening the EU’s preparedness and response for serious cross-border threats to health, both of natural and intentional origin.</w:t>
      </w:r>
    </w:p>
    <w:p>
      <w:pPr>
        <w:pStyle w:val="TextBody"/>
        <w:bidi w:val="0"/>
        <w:spacing w:before="178" w:after="178"/>
        <w:ind w:left="178" w:right="178" w:hanging="0"/>
        <w:jc w:val="left"/>
        <w:rPr>
          <w:highlight w:val="lightGray"/>
        </w:rPr>
      </w:pPr>
      <w:r>
        <w:rPr>
          <w:highlight w:val="lightGray"/>
        </w:rPr>
        <w:t>Reference 12 - 0.05% Coverage</w:t>
      </w:r>
    </w:p>
    <w:p>
      <w:pPr>
        <w:pStyle w:val="TextBody"/>
        <w:bidi w:val="0"/>
        <w:spacing w:before="0" w:after="0"/>
        <w:jc w:val="left"/>
        <w:rPr/>
      </w:pPr>
      <w:r>
        <w:rPr/>
        <w:t>Sufficient and timely availability of critical medical countermeasures in case of a crisis.</w:t>
      </w:r>
    </w:p>
    <w:p>
      <w:pPr>
        <w:pStyle w:val="TextBody"/>
        <w:bidi w:val="0"/>
        <w:spacing w:before="178" w:after="178"/>
        <w:ind w:left="178" w:right="178" w:hanging="0"/>
        <w:jc w:val="left"/>
        <w:rPr>
          <w:highlight w:val="lightGray"/>
        </w:rPr>
      </w:pPr>
      <w:r>
        <w:rPr>
          <w:highlight w:val="lightGray"/>
        </w:rPr>
        <w:t>Reference 13 - 0.16% Coverage</w:t>
      </w:r>
    </w:p>
    <w:p>
      <w:pPr>
        <w:pStyle w:val="TextBody"/>
        <w:bidi w:val="0"/>
        <w:spacing w:before="0" w:after="0"/>
        <w:jc w:val="left"/>
        <w:rPr/>
      </w:pPr>
      <w:r>
        <w:rPr/>
        <w:t>The European Health Emergency Preparedness and Response Authority (HERA) is a central element for strengthening the European Health Union with better EU preparedness and response to serious cross-border health threats, by enabling rapid availability, access and distribution of needed countermeasures</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