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bidi w:val="0"/>
        <w:spacing w:before="178" w:after="178"/>
        <w:ind w:left="178" w:right="178" w:hanging="0"/>
        <w:jc w:val="left"/>
        <w:rPr>
          <w:highlight w:val="lightGray"/>
        </w:rPr>
      </w:pPr>
      <w:r>
        <w:rPr>
          <w:highlight w:val="lightGray"/>
        </w:rPr>
        <w:t>Files\\Commission Decision - § 1 reference coded [ 0.80% Coverage]</w:t>
      </w:r>
    </w:p>
    <w:p>
      <w:pPr>
        <w:pStyle w:val="TextBody"/>
        <w:bidi w:val="0"/>
        <w:spacing w:before="178" w:after="178"/>
        <w:ind w:left="178" w:right="178" w:hanging="0"/>
        <w:jc w:val="left"/>
        <w:rPr>
          <w:highlight w:val="lightGray"/>
        </w:rPr>
      </w:pPr>
      <w:r>
        <w:rPr>
          <w:highlight w:val="lightGray"/>
        </w:rPr>
        <w:t>Reference 1 - 0.80% Coverage</w:t>
      </w:r>
    </w:p>
    <w:p>
      <w:pPr>
        <w:pStyle w:val="TextBody"/>
        <w:bidi w:val="0"/>
        <w:spacing w:before="0" w:after="0"/>
        <w:jc w:val="left"/>
        <w:rPr/>
      </w:pPr>
      <w:r>
        <w:rPr/>
        <w:t>a dedicated European structure for biomedical advanced research and development to support capacity and readiness to respond to cross-border health threats and emergencies – whether of natural, accidental or deliberate origin.</w:t>
      </w:r>
    </w:p>
    <w:p>
      <w:pPr>
        <w:pStyle w:val="TextBody"/>
        <w:bidi w:val="0"/>
        <w:spacing w:before="178" w:after="178"/>
        <w:ind w:left="178" w:right="178" w:hanging="0"/>
        <w:jc w:val="left"/>
        <w:rPr>
          <w:highlight w:val="lightGray"/>
        </w:rPr>
      </w:pPr>
      <w:r>
        <w:rPr>
          <w:highlight w:val="lightGray"/>
        </w:rPr>
        <w:t>Files\\Communication from the Commission - § 1 reference coded [ 0.32% Coverage]</w:t>
      </w:r>
    </w:p>
    <w:p>
      <w:pPr>
        <w:pStyle w:val="TextBody"/>
        <w:bidi w:val="0"/>
        <w:spacing w:before="178" w:after="178"/>
        <w:ind w:left="178" w:right="178" w:hanging="0"/>
        <w:jc w:val="left"/>
        <w:rPr>
          <w:highlight w:val="lightGray"/>
        </w:rPr>
      </w:pPr>
      <w:r>
        <w:rPr>
          <w:highlight w:val="lightGray"/>
        </w:rPr>
        <w:t>Reference 1 - 0.32% Coverage</w:t>
      </w:r>
    </w:p>
    <w:p>
      <w:pPr>
        <w:pStyle w:val="TextBody"/>
        <w:bidi w:val="0"/>
        <w:spacing w:before="0" w:after="0"/>
        <w:jc w:val="left"/>
        <w:rPr/>
      </w:pPr>
      <w:r>
        <w:rPr/>
        <w:t>Globalisation, climate change, natural and man-made disasters, biodiversity loss, habitat encroachment as well as armed conflicts and terrorism drive the emergence and escalation of health emergencies, which can emerge anywhere on the globe and rapidly spread across continents.</w:t>
      </w:r>
    </w:p>
    <w:p>
      <w:pPr>
        <w:pStyle w:val="TextBody"/>
        <w:bidi w:val="0"/>
        <w:spacing w:before="178" w:after="178"/>
        <w:ind w:left="178" w:right="178" w:hanging="0"/>
        <w:jc w:val="left"/>
        <w:rPr>
          <w:highlight w:val="lightGray"/>
        </w:rPr>
      </w:pPr>
      <w:r>
        <w:rPr>
          <w:highlight w:val="lightGray"/>
        </w:rPr>
        <w:t>Files\\Proposal for a Council Regulation - § 8 references coded [ 0.30% Coverage]</w:t>
      </w:r>
    </w:p>
    <w:p>
      <w:pPr>
        <w:pStyle w:val="TextBody"/>
        <w:bidi w:val="0"/>
        <w:spacing w:before="178" w:after="178"/>
        <w:ind w:left="178" w:right="178" w:hanging="0"/>
        <w:jc w:val="left"/>
        <w:rPr>
          <w:highlight w:val="lightGray"/>
        </w:rPr>
      </w:pPr>
      <w:r>
        <w:rPr>
          <w:highlight w:val="lightGray"/>
        </w:rPr>
        <w:t>Reference 1 - 0.02% Coverage</w:t>
      </w:r>
    </w:p>
    <w:p>
      <w:pPr>
        <w:pStyle w:val="TextBody"/>
        <w:bidi w:val="0"/>
        <w:spacing w:before="0" w:after="0"/>
        <w:jc w:val="left"/>
        <w:rPr/>
      </w:pPr>
      <w:r>
        <w:rPr/>
        <w:t>crisis-relevant medical countermeasures</w:t>
      </w:r>
    </w:p>
    <w:p>
      <w:pPr>
        <w:pStyle w:val="TextBody"/>
        <w:bidi w:val="0"/>
        <w:spacing w:before="178" w:after="178"/>
        <w:ind w:left="178" w:right="178" w:hanging="0"/>
        <w:jc w:val="left"/>
        <w:rPr>
          <w:highlight w:val="lightGray"/>
        </w:rPr>
      </w:pPr>
      <w:r>
        <w:rPr>
          <w:highlight w:val="lightGray"/>
        </w:rPr>
        <w:t>Reference 2 - 0.01% Coverage</w:t>
      </w:r>
    </w:p>
    <w:p>
      <w:pPr>
        <w:pStyle w:val="TextBody"/>
        <w:bidi w:val="0"/>
        <w:spacing w:before="0" w:after="0"/>
        <w:jc w:val="left"/>
        <w:rPr/>
      </w:pPr>
      <w:r>
        <w:rPr/>
        <w:t>public health emergency</w:t>
      </w:r>
    </w:p>
    <w:p>
      <w:pPr>
        <w:pStyle w:val="TextBody"/>
        <w:bidi w:val="0"/>
        <w:spacing w:before="178" w:after="178"/>
        <w:ind w:left="178" w:right="178" w:hanging="0"/>
        <w:jc w:val="left"/>
        <w:rPr>
          <w:highlight w:val="lightGray"/>
        </w:rPr>
      </w:pPr>
      <w:r>
        <w:rPr>
          <w:highlight w:val="lightGray"/>
        </w:rPr>
        <w:t>Reference 3 - 0.04% Coverage</w:t>
      </w:r>
    </w:p>
    <w:p>
      <w:pPr>
        <w:pStyle w:val="TextBody"/>
        <w:bidi w:val="0"/>
        <w:spacing w:before="0" w:after="0"/>
        <w:jc w:val="left"/>
        <w:rPr/>
      </w:pPr>
      <w:r>
        <w:rPr/>
        <w:t>a new Union Health Emergency preparedness and Response Authority (HERA)</w:t>
      </w:r>
    </w:p>
    <w:p>
      <w:pPr>
        <w:pStyle w:val="TextBody"/>
        <w:bidi w:val="0"/>
        <w:spacing w:before="178" w:after="178"/>
        <w:ind w:left="178" w:right="178" w:hanging="0"/>
        <w:jc w:val="left"/>
        <w:rPr>
          <w:highlight w:val="lightGray"/>
        </w:rPr>
      </w:pPr>
      <w:r>
        <w:rPr>
          <w:highlight w:val="lightGray"/>
        </w:rPr>
        <w:t>Reference 4 - 0.04% Coverage</w:t>
      </w:r>
    </w:p>
    <w:p>
      <w:pPr>
        <w:pStyle w:val="TextBody"/>
        <w:bidi w:val="0"/>
        <w:spacing w:before="0" w:after="0"/>
        <w:jc w:val="left"/>
        <w:rPr/>
      </w:pPr>
      <w:r>
        <w:rPr/>
        <w:t>This will provide an agile, robust and sustainable health security structure</w:t>
      </w:r>
    </w:p>
    <w:p>
      <w:pPr>
        <w:pStyle w:val="TextBody"/>
        <w:bidi w:val="0"/>
        <w:spacing w:before="178" w:after="178"/>
        <w:ind w:left="178" w:right="178" w:hanging="0"/>
        <w:jc w:val="left"/>
        <w:rPr>
          <w:highlight w:val="lightGray"/>
        </w:rPr>
      </w:pPr>
      <w:r>
        <w:rPr>
          <w:highlight w:val="lightGray"/>
        </w:rPr>
        <w:t>Reference 5 - 0.06% Coverage</w:t>
      </w:r>
    </w:p>
    <w:p>
      <w:pPr>
        <w:pStyle w:val="TextBody"/>
        <w:bidi w:val="0"/>
        <w:spacing w:before="0" w:after="0"/>
        <w:jc w:val="left"/>
        <w:rPr/>
      </w:pPr>
      <w:r>
        <w:rPr/>
        <w:t>They will complement the development of HERA as a new driver for Union action to address cross-border threats.</w:t>
      </w:r>
    </w:p>
    <w:p>
      <w:pPr>
        <w:pStyle w:val="TextBody"/>
        <w:bidi w:val="0"/>
        <w:spacing w:before="178" w:after="178"/>
        <w:ind w:left="178" w:right="178" w:hanging="0"/>
        <w:jc w:val="left"/>
        <w:rPr>
          <w:highlight w:val="lightGray"/>
        </w:rPr>
      </w:pPr>
      <w:r>
        <w:rPr>
          <w:highlight w:val="lightGray"/>
        </w:rPr>
        <w:t>Reference 6 - 0.02% Coverage</w:t>
      </w:r>
    </w:p>
    <w:p>
      <w:pPr>
        <w:pStyle w:val="TextBody"/>
        <w:bidi w:val="0"/>
        <w:spacing w:before="0" w:after="0"/>
        <w:jc w:val="left"/>
        <w:rPr/>
      </w:pPr>
      <w:r>
        <w:rPr/>
        <w:t>armed conflicts and terrorism</w:t>
      </w:r>
    </w:p>
    <w:p>
      <w:pPr>
        <w:pStyle w:val="TextBody"/>
        <w:bidi w:val="0"/>
        <w:spacing w:before="178" w:after="178"/>
        <w:ind w:left="178" w:right="178" w:hanging="0"/>
        <w:jc w:val="left"/>
        <w:rPr>
          <w:highlight w:val="lightGray"/>
        </w:rPr>
      </w:pPr>
      <w:r>
        <w:rPr>
          <w:highlight w:val="lightGray"/>
        </w:rPr>
        <w:t>Reference 7 - 0.02% Coverage</w:t>
      </w:r>
    </w:p>
    <w:p>
      <w:pPr>
        <w:pStyle w:val="TextBody"/>
        <w:bidi w:val="0"/>
        <w:spacing w:before="0" w:after="0"/>
        <w:jc w:val="left"/>
        <w:rPr/>
      </w:pPr>
      <w:r>
        <w:rPr/>
        <w:t>Integrated Political Crisis Response</w:t>
      </w:r>
    </w:p>
    <w:p>
      <w:pPr>
        <w:pStyle w:val="TextBody"/>
        <w:bidi w:val="0"/>
        <w:spacing w:before="178" w:after="178"/>
        <w:ind w:left="178" w:right="178" w:hanging="0"/>
        <w:jc w:val="left"/>
        <w:rPr>
          <w:highlight w:val="lightGray"/>
        </w:rPr>
      </w:pPr>
      <w:r>
        <w:rPr>
          <w:highlight w:val="lightGray"/>
        </w:rPr>
        <w:t>Reference 8 - 0.09% Coverage</w:t>
      </w:r>
    </w:p>
    <w:p>
      <w:pPr>
        <w:pStyle w:val="TextBody"/>
        <w:bidi w:val="0"/>
        <w:spacing w:before="0" w:after="0"/>
        <w:jc w:val="left"/>
        <w:rPr/>
      </w:pPr>
      <w:r>
        <w:rPr/>
        <w:t xml:space="preserve">The HERA would seek to improve public health by strengthening the EU’s </w:t>
        <w:br/>
        <w:t>preparedness and response for serious cross-border threats to health, both of natural and intentional origin.</w:t>
      </w:r>
    </w:p>
    <w:sectPr>
      <w:type w:val="nextPage"/>
      <w:pgSz w:w="11906" w:h="16838"/>
      <w:pgMar w:left="1134" w:right="567" w:header="0" w:top="567" w:footer="0" w:bottom="567"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sz w:val="24"/>
        <w:szCs w:val="24"/>
        <w:lang w:val="en-GB"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Songti SC" w:cs="Arial Unicode MS"/>
      <w:color w:val="auto"/>
      <w:sz w:val="24"/>
      <w:szCs w:val="24"/>
      <w:lang w:val="en-GB" w:eastAsia="zh-CN" w:bidi="hi-IN"/>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LibreOffice/6.4.7.2$MacOSX_X86_64 LibreOffice_project/639b8ac485750d5696d7590a72ef1b496725cfb5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en-GB</dc:language>
  <cp:lastModifiedBy/>
  <cp:revision>0</cp:revision>
  <dc:subject/>
  <dc:title/>
</cp:coreProperties>
</file>