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Files\\Communication from the Commission - § 3 references coded [ 0.73% Coverage]</w:t>
      </w:r>
    </w:p>
    <w:p>
      <w:pPr>
        <w:pStyle w:val="TextBody"/>
        <w:bidi w:val="0"/>
        <w:spacing w:before="178" w:after="178"/>
        <w:ind w:left="178" w:right="178" w:hanging="0"/>
        <w:jc w:val="left"/>
        <w:rPr>
          <w:highlight w:val="lightGray"/>
        </w:rPr>
      </w:pPr>
      <w:r>
        <w:rPr>
          <w:highlight w:val="lightGray"/>
        </w:rPr>
        <w:t>Reference 1 - 0.21% Coverage</w:t>
      </w:r>
    </w:p>
    <w:p>
      <w:pPr>
        <w:pStyle w:val="TextBody"/>
        <w:bidi w:val="0"/>
        <w:spacing w:before="0" w:after="0"/>
        <w:jc w:val="left"/>
        <w:rPr/>
      </w:pPr>
      <w:r>
        <w:rPr/>
        <w:t>And it showed that every minute counts: for all the energy and determination of the EU response, the need to build crisis response from scratch inevitably came with a human and economic cost.</w:t>
      </w:r>
    </w:p>
    <w:p>
      <w:pPr>
        <w:pStyle w:val="TextBody"/>
        <w:bidi w:val="0"/>
        <w:spacing w:before="178" w:after="178"/>
        <w:ind w:left="178" w:right="178" w:hanging="0"/>
        <w:jc w:val="left"/>
        <w:rPr>
          <w:highlight w:val="lightGray"/>
        </w:rPr>
      </w:pPr>
      <w:r>
        <w:rPr>
          <w:highlight w:val="lightGray"/>
        </w:rPr>
        <w:t>Reference 2 - 0.17% Coverage</w:t>
      </w:r>
    </w:p>
    <w:p>
      <w:pPr>
        <w:pStyle w:val="TextBody"/>
        <w:bidi w:val="0"/>
        <w:spacing w:before="0" w:after="0"/>
        <w:jc w:val="left"/>
        <w:rPr/>
      </w:pPr>
      <w:r>
        <w:rPr/>
        <w:t>As seen with COVID-19, investments in preparedness rapidly pay off when weighed against the actual costs – human and economic – of responding to a crisis</w:t>
      </w:r>
    </w:p>
    <w:p>
      <w:pPr>
        <w:pStyle w:val="TextBody"/>
        <w:bidi w:val="0"/>
        <w:spacing w:before="178" w:after="178"/>
        <w:ind w:left="178" w:right="178" w:hanging="0"/>
        <w:jc w:val="left"/>
        <w:rPr>
          <w:highlight w:val="lightGray"/>
        </w:rPr>
      </w:pPr>
      <w:r>
        <w:rPr>
          <w:highlight w:val="lightGray"/>
        </w:rPr>
        <w:t>Reference 3 - 0.34% Coverage</w:t>
      </w:r>
    </w:p>
    <w:p>
      <w:pPr>
        <w:pStyle w:val="TextBody"/>
        <w:bidi w:val="0"/>
        <w:spacing w:before="0" w:after="0"/>
        <w:jc w:val="left"/>
        <w:rPr/>
      </w:pPr>
      <w:r>
        <w:rPr/>
        <w:t>HERA operations require a significant and sustainable budget. Investing in prevention and preparedness now will result in a significantly lower human and economic cost later and will have a large return on investment – not only for the economy, but also for society and the health of European citizens26.</w:t>
      </w:r>
    </w:p>
    <w:p>
      <w:pPr>
        <w:pStyle w:val="TextBody"/>
        <w:bidi w:val="0"/>
        <w:spacing w:before="178" w:after="178"/>
        <w:ind w:left="178" w:right="178" w:hanging="0"/>
        <w:jc w:val="left"/>
        <w:rPr>
          <w:highlight w:val="lightGray"/>
        </w:rPr>
      </w:pPr>
      <w:r>
        <w:rPr>
          <w:highlight w:val="lightGray"/>
        </w:rPr>
        <w:t>Files\\Press Release - § 3 references coded [ 10.06% Coverage]</w:t>
      </w:r>
    </w:p>
    <w:p>
      <w:pPr>
        <w:pStyle w:val="TextBody"/>
        <w:bidi w:val="0"/>
        <w:spacing w:before="178" w:after="178"/>
        <w:ind w:left="178" w:right="178" w:hanging="0"/>
        <w:jc w:val="left"/>
        <w:rPr>
          <w:highlight w:val="lightGray"/>
        </w:rPr>
      </w:pPr>
      <w:r>
        <w:rPr>
          <w:highlight w:val="lightGray"/>
        </w:rPr>
        <w:t>Reference 1 - 2.51% Coverage</w:t>
      </w:r>
    </w:p>
    <w:p>
      <w:pPr>
        <w:pStyle w:val="TextBody"/>
        <w:bidi w:val="0"/>
        <w:spacing w:before="0" w:after="0"/>
        <w:jc w:val="left"/>
        <w:rPr/>
      </w:pPr>
      <w:r>
        <w:rPr/>
        <w:t>President of the European Commission, Ursula von der Leyen, stated: “HERA is another building block of a stronger Health Union and a major step forward for our crisis preparedness. With HERA, we will make sure we have the medical equipment we need to protect our citizens from future health threats. HERA will be able to make swift decisions to safeguard supplies. This is what I promised back in 2020, and this is what we deliver.”</w:t>
      </w:r>
    </w:p>
    <w:p>
      <w:pPr>
        <w:pStyle w:val="TextBody"/>
        <w:bidi w:val="0"/>
        <w:spacing w:before="178" w:after="178"/>
        <w:ind w:left="178" w:right="178" w:hanging="0"/>
        <w:jc w:val="left"/>
        <w:rPr>
          <w:highlight w:val="lightGray"/>
        </w:rPr>
      </w:pPr>
      <w:r>
        <w:rPr>
          <w:highlight w:val="lightGray"/>
        </w:rPr>
        <w:t>Reference 2 - 4.48% Coverage</w:t>
      </w:r>
    </w:p>
    <w:p>
      <w:pPr>
        <w:pStyle w:val="TextBody"/>
        <w:bidi w:val="0"/>
        <w:spacing w:before="0" w:after="0"/>
        <w:jc w:val="left"/>
        <w:rPr/>
      </w:pPr>
      <w:r>
        <w:rPr/>
        <w:t>Stella Kyriakides, Commissioner for Health and Food Safety, said: “HERA is a crucial centerpiece of a strong European Health Union. With HERA we will be able to anticipate threats through horizon scanning, coordinate our actions to respond in a timely fashion through the development, procurement, and distribution of critical medical countermeasures at EU level. It is a unique health security structure allowing us to be ahead of the curve. Health security is becoming a collective endeavor in the EU. After almost two years of a devastating pandemic, HERA is a symbol of the mindset-shift on health policy that we should all rally behind – it is when we act together that we are stronger and able to make a real difference for the health security of our citizens.”</w:t>
      </w:r>
    </w:p>
    <w:p>
      <w:pPr>
        <w:pStyle w:val="TextBody"/>
        <w:bidi w:val="0"/>
        <w:spacing w:before="178" w:after="178"/>
        <w:ind w:left="178" w:right="178" w:hanging="0"/>
        <w:jc w:val="left"/>
        <w:rPr>
          <w:highlight w:val="lightGray"/>
        </w:rPr>
      </w:pPr>
      <w:r>
        <w:rPr>
          <w:highlight w:val="lightGray"/>
        </w:rPr>
        <w:t>Reference 3 - 3.07% Coverage</w:t>
      </w:r>
    </w:p>
    <w:p>
      <w:pPr>
        <w:pStyle w:val="TextBody"/>
        <w:bidi w:val="0"/>
        <w:spacing w:before="0" w:after="0"/>
        <w:jc w:val="left"/>
        <w:rPr/>
      </w:pPr>
      <w:r>
        <w:rPr/>
        <w:t>Thierry Breton, Commissioner for the Internal Market, said: “With HERA, we draw the lessons learned from the crisis: we cannot ensure our citizens’ health without industrial capacity in the EU and well-functioning supply chains. We succeeded in upgrading COVID-19 vaccine production in record time, for Europe and the rest of the world. But we need to be better prepared for future health crises. HERA will establish new, adaptable production capacities and secure supply chains to help Europe react fast when needed.”</w:t>
      </w:r>
    </w:p>
    <w:p>
      <w:pPr>
        <w:pStyle w:val="TextBody"/>
        <w:bidi w:val="0"/>
        <w:spacing w:before="178" w:after="178"/>
        <w:ind w:left="178" w:right="178" w:hanging="0"/>
        <w:jc w:val="left"/>
        <w:rPr>
          <w:highlight w:val="lightGray"/>
        </w:rPr>
      </w:pPr>
      <w:r>
        <w:rPr>
          <w:highlight w:val="lightGray"/>
        </w:rPr>
        <w:t>Files\\Proposal for a Council Regulation - § 4 references coded [ 0.21% Coverage]</w:t>
      </w:r>
    </w:p>
    <w:p>
      <w:pPr>
        <w:pStyle w:val="TextBody"/>
        <w:bidi w:val="0"/>
        <w:spacing w:before="178" w:after="178"/>
        <w:ind w:left="178" w:right="178" w:hanging="0"/>
        <w:jc w:val="left"/>
        <w:rPr>
          <w:highlight w:val="lightGray"/>
        </w:rPr>
      </w:pPr>
      <w:r>
        <w:rPr>
          <w:highlight w:val="lightGray"/>
        </w:rPr>
        <w:t>Reference 1 - 0.01% Coverage</w:t>
      </w:r>
    </w:p>
    <w:p>
      <w:pPr>
        <w:pStyle w:val="TextBody"/>
        <w:bidi w:val="0"/>
        <w:spacing w:before="0" w:after="0"/>
        <w:jc w:val="left"/>
        <w:rPr/>
      </w:pPr>
      <w:r>
        <w:rPr/>
        <w:t>cost lives</w:t>
      </w:r>
    </w:p>
    <w:p>
      <w:pPr>
        <w:pStyle w:val="TextBody"/>
        <w:bidi w:val="0"/>
        <w:spacing w:before="178" w:after="178"/>
        <w:ind w:left="178" w:right="178" w:hanging="0"/>
        <w:jc w:val="left"/>
        <w:rPr>
          <w:highlight w:val="lightGray"/>
        </w:rPr>
      </w:pPr>
      <w:r>
        <w:rPr>
          <w:highlight w:val="lightGray"/>
        </w:rPr>
        <w:t>Reference 2 - 0.06% Coverage</w:t>
      </w:r>
    </w:p>
    <w:p>
      <w:pPr>
        <w:pStyle w:val="TextBody"/>
        <w:bidi w:val="0"/>
        <w:spacing w:before="0" w:after="0"/>
        <w:jc w:val="left"/>
        <w:rPr/>
      </w:pPr>
      <w:r>
        <w:rPr/>
        <w:t>Such unilateral action can ultimately result in significant economic consequences and affect the health of Union citizens.</w:t>
      </w:r>
    </w:p>
    <w:p>
      <w:pPr>
        <w:pStyle w:val="TextBody"/>
        <w:bidi w:val="0"/>
        <w:spacing w:before="178" w:after="178"/>
        <w:ind w:left="178" w:right="178" w:hanging="0"/>
        <w:jc w:val="left"/>
        <w:rPr>
          <w:highlight w:val="lightGray"/>
        </w:rPr>
      </w:pPr>
      <w:r>
        <w:rPr>
          <w:highlight w:val="lightGray"/>
        </w:rPr>
        <w:t>Reference 3 - 0.04% Coverage</w:t>
      </w:r>
    </w:p>
    <w:p>
      <w:pPr>
        <w:pStyle w:val="TextBody"/>
        <w:bidi w:val="0"/>
        <w:spacing w:before="0" w:after="0"/>
        <w:jc w:val="left"/>
        <w:rPr/>
      </w:pPr>
      <w:r>
        <w:rPr/>
        <w:t>The proposal contributes to achieving a high level of human health protection</w:t>
      </w:r>
    </w:p>
    <w:p>
      <w:pPr>
        <w:pStyle w:val="TextBody"/>
        <w:bidi w:val="0"/>
        <w:spacing w:before="178" w:after="178"/>
        <w:ind w:left="178" w:right="178" w:hanging="0"/>
        <w:jc w:val="left"/>
        <w:rPr>
          <w:highlight w:val="lightGray"/>
        </w:rPr>
      </w:pPr>
      <w:r>
        <w:rPr>
          <w:highlight w:val="lightGray"/>
        </w:rPr>
        <w:t>Reference 4 - 0.09% Coverage</w:t>
      </w:r>
    </w:p>
    <w:p>
      <w:pPr>
        <w:pStyle w:val="TextBody"/>
        <w:bidi w:val="0"/>
        <w:spacing w:before="0" w:after="0"/>
        <w:jc w:val="left"/>
        <w:rPr/>
      </w:pPr>
      <w:r>
        <w:rPr/>
        <w:t xml:space="preserve">The HERA would seek to improve public health by strengthening the EU’s </w:t>
        <w:br/>
        <w:t>preparedness and response for serious cross-border threats to health, both of natural and intentional origin.</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