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Files\\Communication from the Commission - § 3 references coded [ 0.73% Coverage]</w:t>
      </w:r>
    </w:p>
    <w:p>
      <w:pPr>
        <w:pStyle w:val="TextBody"/>
        <w:bidi w:val="0"/>
        <w:spacing w:before="178" w:after="178"/>
        <w:ind w:left="178" w:right="178" w:hanging="0"/>
        <w:jc w:val="left"/>
        <w:rPr>
          <w:highlight w:val="lightGray"/>
        </w:rPr>
      </w:pPr>
      <w:r>
        <w:rPr>
          <w:highlight w:val="lightGray"/>
        </w:rPr>
        <w:t>Reference 1 - 0.21% Coverage</w:t>
      </w:r>
    </w:p>
    <w:p>
      <w:pPr>
        <w:pStyle w:val="TextBody"/>
        <w:bidi w:val="0"/>
        <w:spacing w:before="0" w:after="0"/>
        <w:jc w:val="left"/>
        <w:rPr/>
      </w:pPr>
      <w:r>
        <w:rPr/>
        <w:t>And it showed that every minute counts: for all the energy and determination of the EU response, the need to build crisis response from scratch inevitably came with a human and economic cost.</w:t>
      </w:r>
    </w:p>
    <w:p>
      <w:pPr>
        <w:pStyle w:val="TextBody"/>
        <w:bidi w:val="0"/>
        <w:spacing w:before="178" w:after="178"/>
        <w:ind w:left="178" w:right="178" w:hanging="0"/>
        <w:jc w:val="left"/>
        <w:rPr>
          <w:highlight w:val="lightGray"/>
        </w:rPr>
      </w:pPr>
      <w:r>
        <w:rPr>
          <w:highlight w:val="lightGray"/>
        </w:rPr>
        <w:t>Reference 2 - 0.17% Coverage</w:t>
      </w:r>
    </w:p>
    <w:p>
      <w:pPr>
        <w:pStyle w:val="TextBody"/>
        <w:bidi w:val="0"/>
        <w:spacing w:before="0" w:after="0"/>
        <w:jc w:val="left"/>
        <w:rPr/>
      </w:pPr>
      <w:r>
        <w:rPr/>
        <w:t>As seen with COVID-19, investments in preparedness rapidly pay off when weighed against the actual costs – human and economic – of responding to a crisis</w:t>
      </w:r>
    </w:p>
    <w:p>
      <w:pPr>
        <w:pStyle w:val="TextBody"/>
        <w:bidi w:val="0"/>
        <w:spacing w:before="178" w:after="178"/>
        <w:ind w:left="178" w:right="178" w:hanging="0"/>
        <w:jc w:val="left"/>
        <w:rPr>
          <w:highlight w:val="lightGray"/>
        </w:rPr>
      </w:pPr>
      <w:r>
        <w:rPr>
          <w:highlight w:val="lightGray"/>
        </w:rPr>
        <w:t>Reference 3 - 0.34% Coverage</w:t>
      </w:r>
    </w:p>
    <w:p>
      <w:pPr>
        <w:pStyle w:val="TextBody"/>
        <w:bidi w:val="0"/>
        <w:spacing w:before="0" w:after="0"/>
        <w:jc w:val="left"/>
        <w:rPr/>
      </w:pPr>
      <w:r>
        <w:rPr/>
        <w:t>HERA operations require a significant and sustainable budget. Investing in prevention and preparedness now will result in a significantly lower human and economic cost later and will have a large return on investment – not only for the economy, but also for society and the health of European citizens26.</w:t>
      </w:r>
    </w:p>
    <w:p>
      <w:pPr>
        <w:pStyle w:val="TextBody"/>
        <w:bidi w:val="0"/>
        <w:spacing w:before="178" w:after="178"/>
        <w:ind w:left="178" w:right="178" w:hanging="0"/>
        <w:jc w:val="left"/>
        <w:rPr>
          <w:highlight w:val="lightGray"/>
        </w:rPr>
      </w:pPr>
      <w:r>
        <w:rPr>
          <w:highlight w:val="lightGray"/>
        </w:rPr>
        <w:t>Files\\Proposal for a Council Regulation - § 4 references coded [ 0.36% Coverage]</w:t>
      </w:r>
    </w:p>
    <w:p>
      <w:pPr>
        <w:pStyle w:val="TextBody"/>
        <w:bidi w:val="0"/>
        <w:spacing w:before="178" w:after="178"/>
        <w:ind w:left="178" w:right="178" w:hanging="0"/>
        <w:jc w:val="left"/>
        <w:rPr>
          <w:highlight w:val="lightGray"/>
        </w:rPr>
      </w:pPr>
      <w:r>
        <w:rPr>
          <w:highlight w:val="lightGray"/>
        </w:rPr>
        <w:t>Reference 1 - 0.01% Coverage</w:t>
      </w:r>
    </w:p>
    <w:p>
      <w:pPr>
        <w:pStyle w:val="TextBody"/>
        <w:bidi w:val="0"/>
        <w:spacing w:before="0" w:after="0"/>
        <w:jc w:val="left"/>
        <w:rPr/>
      </w:pPr>
      <w:r>
        <w:rPr/>
        <w:t>harmed the economy</w:t>
      </w:r>
    </w:p>
    <w:p>
      <w:pPr>
        <w:pStyle w:val="TextBody"/>
        <w:bidi w:val="0"/>
        <w:spacing w:before="178" w:after="178"/>
        <w:ind w:left="178" w:right="178" w:hanging="0"/>
        <w:jc w:val="left"/>
        <w:rPr>
          <w:highlight w:val="lightGray"/>
        </w:rPr>
      </w:pPr>
      <w:r>
        <w:rPr>
          <w:highlight w:val="lightGray"/>
        </w:rPr>
        <w:t>Reference 2 - 0.25% Coverage</w:t>
      </w:r>
    </w:p>
    <w:p>
      <w:pPr>
        <w:pStyle w:val="TextBody"/>
        <w:bidi w:val="0"/>
        <w:spacing w:before="0" w:after="0"/>
        <w:jc w:val="left"/>
        <w:rPr/>
      </w:pPr>
      <w:r>
        <w:rPr/>
        <w:t>aims to ensure the supply and the timely availability and accessibility of crisis-relevant medical countermeasures addressing the economic impacts caused by public health emergencies, it is based on Article 122(1) of the Treaty on the Functioning of the European Union (TFEU). The Council may act pursuant to Article 122(1) TFEU to adopt measures that are appropriate to address the economic situation, in particular if severe difficulties arise in the supply of certain products.</w:t>
      </w:r>
    </w:p>
    <w:p>
      <w:pPr>
        <w:pStyle w:val="TextBody"/>
        <w:bidi w:val="0"/>
        <w:spacing w:before="178" w:after="178"/>
        <w:ind w:left="178" w:right="178" w:hanging="0"/>
        <w:jc w:val="left"/>
        <w:rPr>
          <w:highlight w:val="lightGray"/>
        </w:rPr>
      </w:pPr>
      <w:r>
        <w:rPr>
          <w:highlight w:val="lightGray"/>
        </w:rPr>
        <w:t>Reference 3 - 0.06% Coverage</w:t>
      </w:r>
    </w:p>
    <w:p>
      <w:pPr>
        <w:pStyle w:val="TextBody"/>
        <w:bidi w:val="0"/>
        <w:spacing w:before="0" w:after="0"/>
        <w:jc w:val="left"/>
        <w:rPr/>
      </w:pPr>
      <w:r>
        <w:rPr/>
        <w:t>Such unilateral action can ultimately result in significant economic consequences and affect the health of Union citizens.</w:t>
      </w:r>
    </w:p>
    <w:p>
      <w:pPr>
        <w:pStyle w:val="TextBody"/>
        <w:bidi w:val="0"/>
        <w:spacing w:before="178" w:after="178"/>
        <w:ind w:left="178" w:right="178" w:hanging="0"/>
        <w:jc w:val="left"/>
        <w:rPr>
          <w:highlight w:val="lightGray"/>
        </w:rPr>
      </w:pPr>
      <w:r>
        <w:rPr>
          <w:highlight w:val="lightGray"/>
        </w:rPr>
        <w:t>Reference 4 - 0.04% Coverage</w:t>
      </w:r>
    </w:p>
    <w:p>
      <w:pPr>
        <w:pStyle w:val="TextBody"/>
        <w:bidi w:val="0"/>
        <w:spacing w:before="0" w:after="0"/>
        <w:jc w:val="left"/>
        <w:rPr/>
      </w:pPr>
      <w:r>
        <w:rPr/>
        <w:t>The social and economic activity in the EU should be secured in all times.</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