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er"/>
        <w:keepNext w:val="true"/>
        <w:bidi w:val="0"/>
        <w:spacing w:before="200" w:after="120"/>
        <w:ind w:left="0" w:right="0" w:hanging="0"/>
        <w:jc w:val="left"/>
        <w:outlineLvl w:val="1"/>
        <w:rPr>
          <w:rFonts w:ascii="Helvetica Neue" w:hAnsi="Helvetica Neue"/>
          <w:b w:val="false"/>
          <w:b w:val="false"/>
          <w:bCs w:val="false"/>
          <w:sz w:val="56"/>
          <w:szCs w:val="56"/>
        </w:rPr>
      </w:pPr>
      <w:r>
        <w:rPr>
          <w:rFonts w:ascii="Helvetica Neue" w:hAnsi="Helvetica Neue"/>
          <w:b w:val="false"/>
          <w:bCs w:val="false"/>
          <w:sz w:val="56"/>
          <w:szCs w:val="56"/>
        </w:rPr>
        <w:t>HERA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2"/>
        <w:bidi w:val="0"/>
        <w:spacing w:before="200" w:after="120"/>
        <w:ind w:left="0" w:right="0" w:hanging="0"/>
        <w:jc w:val="left"/>
        <w:rPr>
          <w:rFonts w:ascii="Helvetica Neue" w:hAnsi="Helvetica Neue"/>
          <w:b w:val="false"/>
          <w:b w:val="false"/>
          <w:bCs w:val="false"/>
          <w:sz w:val="36"/>
          <w:szCs w:val="36"/>
        </w:rPr>
      </w:pPr>
      <w:r>
        <w:rPr>
          <w:rFonts w:ascii="Helvetica Neue" w:hAnsi="Helvetica Neue"/>
          <w:b w:val="false"/>
          <w:bCs w:val="false"/>
          <w:sz w:val="36"/>
          <w:szCs w:val="36"/>
        </w:rPr>
        <w:t>Codes</w:t>
      </w:r>
    </w:p>
    <w:tbl>
      <w:tblPr>
        <w:tblW w:w="5000" w:type="pct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10"/>
        <w:gridCol w:w="8146"/>
        <w:gridCol w:w="1485"/>
        <w:gridCol w:w="1499"/>
      </w:tblGrid>
      <w:tr>
        <w:trPr>
          <w:tblHeader w:val="true"/>
          <w:trHeight w:val="451" w:hRule="atLeast"/>
        </w:trPr>
        <w:tc>
          <w:tcPr>
            <w:tcW w:w="37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</w:tcBorders>
            <w:shd w:fill="6699CC" w:val="clear"/>
            <w:vAlign w:val="center"/>
          </w:tcPr>
          <w:p>
            <w:pPr>
              <w:pStyle w:val="TableHeading"/>
              <w:bidi w:val="0"/>
              <w:jc w:val="left"/>
              <w:rPr>
                <w:rFonts w:ascii="Helvetica Neue" w:hAnsi="Helvetica Neue"/>
                <w:b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color w:val="FFFFFF"/>
                <w:sz w:val="20"/>
                <w:szCs w:val="20"/>
              </w:rPr>
              <w:t>Name</w:t>
            </w:r>
          </w:p>
        </w:tc>
        <w:tc>
          <w:tcPr>
            <w:tcW w:w="814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</w:tcBorders>
            <w:shd w:fill="6699CC" w:val="clear"/>
            <w:vAlign w:val="center"/>
          </w:tcPr>
          <w:p>
            <w:pPr>
              <w:pStyle w:val="TableHeading"/>
              <w:bidi w:val="0"/>
              <w:jc w:val="left"/>
              <w:rPr>
                <w:rFonts w:ascii="Helvetica Neue" w:hAnsi="Helvetica Neue"/>
                <w:b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  <w:tc>
          <w:tcPr>
            <w:tcW w:w="1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</w:tcBorders>
            <w:shd w:fill="6699CC" w:val="clear"/>
            <w:vAlign w:val="center"/>
          </w:tcPr>
          <w:p>
            <w:pPr>
              <w:pStyle w:val="TableHeading"/>
              <w:bidi w:val="0"/>
              <w:rPr>
                <w:rFonts w:ascii="Helvetica Neue" w:hAnsi="Helvetica Neue"/>
                <w:b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color w:val="FFFFFF"/>
                <w:sz w:val="20"/>
                <w:szCs w:val="20"/>
              </w:rPr>
              <w:t>Files</w:t>
            </w:r>
          </w:p>
        </w:tc>
        <w:tc>
          <w:tcPr>
            <w:tcW w:w="149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</w:tcBorders>
            <w:shd w:fill="6699CC" w:val="clear"/>
            <w:vAlign w:val="center"/>
          </w:tcPr>
          <w:p>
            <w:pPr>
              <w:pStyle w:val="TableHeading"/>
              <w:bidi w:val="0"/>
              <w:rPr>
                <w:rFonts w:ascii="Helvetica Neue" w:hAnsi="Helvetica Neue"/>
                <w:b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color w:val="FFFFFF"/>
                <w:sz w:val="20"/>
                <w:szCs w:val="20"/>
              </w:rPr>
              <w:t>References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RQ1 Framing of health emergencies (type of problem)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0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Economic threat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Public Health threat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AMR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One Health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Security threat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CBRN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Crisis response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13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ERIDs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Future threats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9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Global Health Security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Globalization and disease spread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Intelligence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Medical Countermeasures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Preparedness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Referent object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Security and defence actors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RQ2 Purported benefits of strengthening the EU role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6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Coordination and cooperation - EU and Member States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Ad Hoc EU action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Collective action - failure of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Coordination - failure of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9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Fragmentation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6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Crisis Response - improved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Crisis response - delay and inefficiency in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Data and information sharing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8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Economies of scale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Funding - emergency financial support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8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Global efforts - EU contribution to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Industry - cooperation with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25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Preparedness- improved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25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Preparedness - failure of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9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Threat assessment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8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Regulatory flexibility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Supply chain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0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Distribution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Procurement at EU level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18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Production capacity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6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Production capacity - shortage of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Research &amp; Innovation - financing of and support for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26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Stockpiling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7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6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COVID LESSON - Supply shortages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Supply and demand - monitoring and management of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32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RQ3 Consistency with other EU activities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Biodefence preparedness plan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CBRN Action Plan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Cohesion policy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Digital Europe Programme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Digital Single Market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Emergency Support Instrument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Endorsement of EU bodies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 FAB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8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 Indisutrial Strategy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EU4Health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European Centre for Disease Control (ECDC)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16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European Green Deal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European Health Union (EHU)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5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10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European Regional Development Fund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Eurpean Medicines Agency (EMA)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25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Horizon Europe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Internal market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InvestEU fund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Legal basis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3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13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4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Consultation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One Health Action Plan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Pharmaceutical Strategy for Europe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Protection of workers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Recovery and Reslience Facility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Research and Innovation agenda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Single Market Programme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fill="EEEEEE" w:val="clear"/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1</w:t>
            </w:r>
          </w:p>
        </w:tc>
      </w:tr>
      <w:tr>
        <w:trPr/>
        <w:tc>
          <w:tcPr>
            <w:tcW w:w="3710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Normal"/>
              <w:bidi w:val="0"/>
              <w:ind w:left="200" w:hanging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Union Civil Protection Mechanism</w:t>
            </w:r>
          </w:p>
        </w:tc>
        <w:tc>
          <w:tcPr>
            <w:tcW w:w="8146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lef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</w:r>
          </w:p>
        </w:tc>
        <w:tc>
          <w:tcPr>
            <w:tcW w:w="1485" w:type="dxa"/>
            <w:tcBorders>
              <w:left w:val="single" w:sz="2" w:space="0" w:color="DDDDDD"/>
              <w:bottom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2</w:t>
            </w:r>
          </w:p>
        </w:tc>
        <w:tc>
          <w:tcPr>
            <w:tcW w:w="1499" w:type="dxa"/>
            <w:tcBorders>
              <w:left w:val="single" w:sz="2" w:space="0" w:color="DDDDDD"/>
              <w:bottom w:val="single" w:sz="2" w:space="0" w:color="DDDDDD"/>
              <w:right w:val="single" w:sz="2" w:space="0" w:color="DDDDDD"/>
            </w:tcBorders>
          </w:tcPr>
          <w:p>
            <w:pPr>
              <w:pStyle w:val="TableContents"/>
              <w:bidi w:val="0"/>
              <w:jc w:val="right"/>
              <w:rPr>
                <w:rFonts w:ascii="Helvetica Neue" w:hAnsi="Helvetica Neue"/>
                <w:b w:val="false"/>
                <w:sz w:val="21"/>
                <w:szCs w:val="21"/>
              </w:rPr>
            </w:pPr>
            <w:r>
              <w:rPr>
                <w:rFonts w:ascii="Helvetica Neue" w:hAnsi="Helvetica Neue"/>
                <w:b w:val="false"/>
                <w:sz w:val="21"/>
                <w:szCs w:val="21"/>
              </w:rPr>
              <w:t>4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footerReference w:type="default" r:id="rId2"/>
      <w:type w:val="nextPage"/>
      <w:pgSz w:orient="landscape" w:w="16840" w:h="11900"/>
      <w:pgMar w:left="1000" w:right="1000" w:header="0" w:top="1000" w:footer="1000" w:bottom="152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 Neue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left"/>
      <w:rPr>
        <w:rFonts w:ascii="Helvetica Neue" w:hAnsi="Helvetica Neue"/>
        <w:b w:val="false"/>
        <w:sz w:val="20"/>
      </w:rPr>
    </w:pPr>
    <w:r>
      <w:rPr>
        <w:rFonts w:ascii="Helvetica Neue" w:hAnsi="Helvetica Neue"/>
        <w:b w:val="false"/>
        <w:sz w:val="20"/>
      </w:rPr>
      <w:fldChar w:fldCharType="begin"/>
    </w:r>
    <w:r>
      <w:rPr>
        <w:sz w:val="20"/>
        <w:b w:val="false"/>
        <w:rFonts w:ascii="Helvetica Neue" w:hAnsi="Helvetica Neue"/>
      </w:rPr>
      <w:instrText> CREATEDATE \@"MMM\ d', 'yyyy" </w:instrText>
    </w:r>
    <w:r>
      <w:rPr>
        <w:sz w:val="20"/>
        <w:b w:val="false"/>
        <w:rFonts w:ascii="Helvetica Neue" w:hAnsi="Helvetica Neue"/>
      </w:rPr>
      <w:fldChar w:fldCharType="separate"/>
    </w:r>
    <w:r>
      <w:rPr>
        <w:sz w:val="20"/>
        <w:b w:val="false"/>
        <w:rFonts w:ascii="Helvetica Neue" w:hAnsi="Helvetica Neue"/>
      </w:rPr>
      <w:t>Mar 19, 2024</w:t>
    </w:r>
    <w:r>
      <w:rPr>
        <w:sz w:val="20"/>
        <w:b w:val="false"/>
        <w:rFonts w:ascii="Helvetica Neue" w:hAnsi="Helvetica Neue"/>
      </w:rPr>
      <w:fldChar w:fldCharType="end"/>
    </w:r>
    <w:r>
      <w:rPr>
        <w:rFonts w:ascii="Helvetica Neue" w:hAnsi="Helvetica Neue"/>
        <w:b w:val="false"/>
        <w:sz w:val="20"/>
      </w:rPr>
      <w:tab/>
      <w:tab/>
    </w:r>
    <w:r>
      <w:rPr>
        <w:rFonts w:ascii="Helvetica Neue" w:hAnsi="Helvetica Neue"/>
        <w:b w:val="false"/>
        <w:sz w:val="20"/>
      </w:rPr>
      <w:fldChar w:fldCharType="begin"/>
    </w:r>
    <w:r>
      <w:rPr>
        <w:sz w:val="20"/>
        <w:b w:val="false"/>
        <w:rFonts w:ascii="Helvetica Neue" w:hAnsi="Helvetica Neue"/>
      </w:rPr>
      <w:instrText> PAGE </w:instrText>
    </w:r>
    <w:r>
      <w:rPr>
        <w:sz w:val="20"/>
        <w:b w:val="false"/>
        <w:rFonts w:ascii="Helvetica Neue" w:hAnsi="Helvetica Neue"/>
      </w:rPr>
      <w:fldChar w:fldCharType="separate"/>
    </w:r>
    <w:r>
      <w:rPr>
        <w:sz w:val="20"/>
        <w:b w:val="false"/>
        <w:rFonts w:ascii="Helvetica Neue" w:hAnsi="Helvetica Neue"/>
      </w:rPr>
      <w:t>4</w:t>
    </w:r>
    <w:r>
      <w:rPr>
        <w:sz w:val="20"/>
        <w:b w:val="false"/>
        <w:rFonts w:ascii="Helvetica Neue" w:hAnsi="Helvetica Neue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7283" w:leader="none"/>
        <w:tab w:val="right" w:pos="14566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7283" w:leader="none"/>
        <w:tab w:val="right" w:pos="14566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266</TotalTime>
  <Application>LibreOffice/6.4.7.2$MacOSX_X86_64 LibreOffice_project/639b8ac485750d5696d7590a72ef1b496725cfb5</Application>
  <Pages>1</Pages>
  <Words>28</Words>
  <Characters>191</Characters>
  <CharactersWithSpaces>198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2024-03-19T19:23:30Z</dcterms:created>
  <dc:creator/>
  <dc:description/>
  <dc:language>en-GB</dc:language>
  <cp:lastModifiedBy/>
  <cp:lastPrinted>2017-01-04T14:30:40Z</cp:lastPrinted>
  <dcterms:modified xsi:type="dcterms:W3CDTF">2017-01-18T17:06:47Z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xport Date">
    <vt:lpwstr>2024-03-19T19:23:30</vt:lpwstr>
  </property>
  <property fmtid="{D5CDD505-2E9C-101B-9397-08002B2CF9AE}" pid="3" name="Folder Description">
    <vt:lpwstr>&lt;Folder Description&gt;</vt:lpwstr>
  </property>
  <property fmtid="{D5CDD505-2E9C-101B-9397-08002B2CF9AE}" pid="4" name="Folder Title">
    <vt:lpwstr>&lt;Folder Title&gt;</vt:lpwstr>
  </property>
  <property fmtid="{D5CDD505-2E9C-101B-9397-08002B2CF9AE}" pid="5" name="Header Description">
    <vt:lpwstr>&lt;Description&gt;</vt:lpwstr>
  </property>
  <property fmtid="{D5CDD505-2E9C-101B-9397-08002B2CF9AE}" pid="6" name="Header Name">
    <vt:lpwstr>&lt;Name&gt;</vt:lpwstr>
  </property>
  <property fmtid="{D5CDD505-2E9C-101B-9397-08002B2CF9AE}" pid="7" name="Header References">
    <vt:lpwstr>&lt;References&gt;</vt:lpwstr>
  </property>
  <property fmtid="{D5CDD505-2E9C-101B-9397-08002B2CF9AE}" pid="8" name="Header Sources">
    <vt:lpwstr>&lt;Sources&gt;</vt:lpwstr>
  </property>
  <property fmtid="{D5CDD505-2E9C-101B-9397-08002B2CF9AE}" pid="9" name="Item Description">
    <vt:lpwstr>&lt;description&gt;</vt:lpwstr>
  </property>
  <property fmtid="{D5CDD505-2E9C-101B-9397-08002B2CF9AE}" pid="10" name="Item Name">
    <vt:lpwstr>&lt;item&gt;</vt:lpwstr>
  </property>
  <property fmtid="{D5CDD505-2E9C-101B-9397-08002B2CF9AE}" pid="11" name="Item References">
    <vt:lpwstr>&lt;refs&gt;</vt:lpwstr>
  </property>
  <property fmtid="{D5CDD505-2E9C-101B-9397-08002B2CF9AE}" pid="12" name="Item Sources">
    <vt:lpwstr>&lt;sources&gt;</vt:lpwstr>
  </property>
  <property fmtid="{D5CDD505-2E9C-101B-9397-08002B2CF9AE}" pid="13" name="Project Name">
    <vt:lpwstr>HERA</vt:lpwstr>
  </property>
</Properties>
</file>