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Files\\Commission Decision - § 1 reference coded [ 0.56% Coverage]</w:t>
      </w:r>
    </w:p>
    <w:p>
      <w:pPr>
        <w:pStyle w:val="TextBody"/>
        <w:bidi w:val="0"/>
        <w:spacing w:before="178" w:after="178"/>
        <w:ind w:left="178" w:right="178" w:hanging="0"/>
        <w:jc w:val="left"/>
        <w:rPr>
          <w:highlight w:val="lightGray"/>
        </w:rPr>
      </w:pPr>
      <w:r>
        <w:rPr>
          <w:highlight w:val="lightGray"/>
        </w:rPr>
        <w:t>Reference 1 - 0.56% Coverage</w:t>
      </w:r>
    </w:p>
    <w:p>
      <w:pPr>
        <w:pStyle w:val="TextBody"/>
        <w:bidi w:val="0"/>
        <w:spacing w:before="0" w:after="0"/>
        <w:jc w:val="left"/>
        <w:rPr/>
      </w:pPr>
      <w:r>
        <w:rPr/>
        <w:t>HERA’s activities shall respect the governance of contributing Union programmes, in particular EU4Health, Horizon Europe and Union Civil Protection Mechanism;</w:t>
      </w:r>
    </w:p>
    <w:p>
      <w:pPr>
        <w:pStyle w:val="TextBody"/>
        <w:bidi w:val="0"/>
        <w:spacing w:before="178" w:after="178"/>
        <w:ind w:left="178" w:right="178" w:hanging="0"/>
        <w:jc w:val="left"/>
        <w:rPr>
          <w:highlight w:val="lightGray"/>
        </w:rPr>
      </w:pPr>
      <w:r>
        <w:rPr>
          <w:highlight w:val="lightGray"/>
        </w:rPr>
        <w:t>Files\\Communication from the Commission - § 2 references coded [ 0.70% Coverage]</w:t>
      </w:r>
    </w:p>
    <w:p>
      <w:pPr>
        <w:pStyle w:val="TextBody"/>
        <w:bidi w:val="0"/>
        <w:spacing w:before="178" w:after="178"/>
        <w:ind w:left="178" w:right="178" w:hanging="0"/>
        <w:jc w:val="left"/>
        <w:rPr>
          <w:highlight w:val="lightGray"/>
        </w:rPr>
      </w:pPr>
      <w:r>
        <w:rPr>
          <w:highlight w:val="lightGray"/>
        </w:rPr>
        <w:t>Reference 1 - 0.62% Coverage</w:t>
      </w:r>
    </w:p>
    <w:p>
      <w:pPr>
        <w:pStyle w:val="TextBody"/>
        <w:bidi w:val="0"/>
        <w:spacing w:before="0" w:after="0"/>
        <w:jc w:val="left"/>
        <w:rPr/>
      </w:pPr>
      <w:r>
        <w:rPr/>
        <w:t>The case for making significant investments in prevention and preparedness is compelling. This has already been recognised by the EU through the increases in financial investments in health security in 2020, in particular with the new EU4Health programme, a large share of Horizon Europe, and the reinforced Union Civil Protection Mechanism (UCPM), as well as health being a major pillar of the Recovery and Resilience Facility and a main focus of investments under cohesion policy’s Coronavirus Response Investment Initiatives (CRII) and REACT-EU.</w:t>
      </w:r>
    </w:p>
    <w:p>
      <w:pPr>
        <w:pStyle w:val="TextBody"/>
        <w:bidi w:val="0"/>
        <w:spacing w:before="178" w:after="178"/>
        <w:ind w:left="178" w:right="178" w:hanging="0"/>
        <w:jc w:val="left"/>
        <w:rPr>
          <w:highlight w:val="lightGray"/>
        </w:rPr>
      </w:pPr>
      <w:r>
        <w:rPr>
          <w:highlight w:val="lightGray"/>
        </w:rPr>
        <w:t>Reference 2 - 0.08% Coverage</w:t>
      </w:r>
    </w:p>
    <w:p>
      <w:pPr>
        <w:pStyle w:val="TextBody"/>
        <w:bidi w:val="0"/>
        <w:spacing w:before="0" w:after="0"/>
        <w:jc w:val="left"/>
        <w:rPr/>
      </w:pPr>
      <w:r>
        <w:rPr/>
        <w:t>EU4Health allows for major support to health security preparedness.</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