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Files\\Communication from the Commission - § 1 reference coded [ 0.40% Coverage]</w:t>
      </w:r>
    </w:p>
    <w:p>
      <w:pPr>
        <w:pStyle w:val="TextBody"/>
        <w:bidi w:val="0"/>
        <w:spacing w:before="178" w:after="178"/>
        <w:ind w:left="178" w:right="178" w:hanging="0"/>
        <w:jc w:val="left"/>
        <w:rPr>
          <w:highlight w:val="lightGray"/>
        </w:rPr>
      </w:pPr>
      <w:r>
        <w:rPr>
          <w:highlight w:val="lightGray"/>
        </w:rPr>
        <w:t>Reference 1 - 0.40% Coverage</w:t>
      </w:r>
    </w:p>
    <w:p>
      <w:pPr>
        <w:pStyle w:val="TextBody"/>
        <w:bidi w:val="0"/>
        <w:spacing w:before="0" w:after="0"/>
        <w:jc w:val="left"/>
        <w:rPr/>
      </w:pPr>
      <w:r>
        <w:rPr/>
        <w:t>It will build upon the work launched by the biodefence preparedness plan set up in February 2021 as the HERA Incubator3, which brought together researchers, biotech companies, manufacturers, regulators and public authorities to rapidly detect and characterise new variants, adapt vaccines as necessary and scale up existing production capacities.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