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Files\\Communication from the Commission - § 1 reference coded [ 0.27% Coverage]</w:t>
      </w:r>
    </w:p>
    <w:p>
      <w:pPr>
        <w:pStyle w:val="TextBody"/>
        <w:bidi w:val="0"/>
        <w:spacing w:before="178" w:after="178"/>
        <w:ind w:left="178" w:right="178" w:hanging="0"/>
        <w:jc w:val="left"/>
        <w:rPr>
          <w:highlight w:val="lightGray"/>
        </w:rPr>
      </w:pPr>
      <w:r>
        <w:rPr>
          <w:highlight w:val="lightGray"/>
        </w:rPr>
        <w:t>Reference 1 - 0.27% Coverage</w:t>
      </w:r>
    </w:p>
    <w:p>
      <w:pPr>
        <w:pStyle w:val="TextBody"/>
        <w:bidi w:val="0"/>
        <w:spacing w:before="0" w:after="0"/>
        <w:jc w:val="left"/>
        <w:rPr/>
      </w:pPr>
      <w:r>
        <w:rPr/>
        <w:t>HERA will then build on several planned or ongoing initiatives to help it achieve its goal. The Pharmaceutical Strategy for Europe and its structured dialogue on security of medicines’ supply and actions aim to address systemic shortages14.</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