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bidi w:val="0"/>
        <w:spacing w:before="178" w:after="178"/>
        <w:ind w:left="178" w:right="178" w:hanging="0"/>
        <w:jc w:val="left"/>
        <w:rPr>
          <w:highlight w:val="lightGray"/>
        </w:rPr>
      </w:pPr>
      <w:r>
        <w:rPr>
          <w:highlight w:val="lightGray"/>
        </w:rPr>
        <w:t>Files\\Proposal for a Council Regulation - § 1 reference coded [ 0.08% Coverage]</w:t>
      </w:r>
    </w:p>
    <w:p>
      <w:pPr>
        <w:pStyle w:val="TextBody"/>
        <w:bidi w:val="0"/>
        <w:spacing w:before="178" w:after="178"/>
        <w:ind w:left="178" w:right="178" w:hanging="0"/>
        <w:jc w:val="left"/>
        <w:rPr>
          <w:highlight w:val="lightGray"/>
        </w:rPr>
      </w:pPr>
      <w:r>
        <w:rPr>
          <w:highlight w:val="lightGray"/>
        </w:rPr>
        <w:t>Reference 1 - 0.08% Coverage</w:t>
      </w:r>
    </w:p>
    <w:p>
      <w:pPr>
        <w:pStyle w:val="TextBody"/>
        <w:bidi w:val="0"/>
        <w:spacing w:before="0" w:after="0"/>
        <w:jc w:val="left"/>
        <w:rPr/>
      </w:pPr>
      <w:r>
        <w:rPr/>
        <w:t>The Commission, the European Parliament and the Council have strongly affirmed the Union’s commitment to scaling up global health emergency preparedness.</w:t>
      </w:r>
    </w:p>
    <w:sectPr>
      <w:type w:val="nextPage"/>
      <w:pgSz w:w="11906" w:h="16838"/>
      <w:pgMar w:left="1134" w:right="567" w:header="0" w:top="567" w:footer="0" w:bottom="567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sz w:val="24"/>
        <w:szCs w:val="24"/>
        <w:lang w:val="en-GB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Songti SC" w:cs="Arial Unicode MS"/>
      <w:color w:val="auto"/>
      <w:sz w:val="24"/>
      <w:szCs w:val="24"/>
      <w:lang w:val="en-GB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LibreOffice/6.4.7.2$MacOSX_X86_64 LibreOffice_project/639b8ac485750d5696d7590a72ef1b496725cfb5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en-GB</dc:language>
  <cp:lastModifiedBy/>
  <cp:revision>0</cp:revision>
  <dc:subject/>
  <dc:title/>
</cp:coreProperties>
</file>