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Files\\Proposal for a Council Regulation - § 1 reference coded [ 0.12% Coverage]</w:t>
      </w:r>
    </w:p>
    <w:p>
      <w:pPr>
        <w:pStyle w:val="TextBody"/>
        <w:bidi w:val="0"/>
        <w:spacing w:before="178" w:after="178"/>
        <w:ind w:left="178" w:right="178" w:hanging="0"/>
        <w:jc w:val="left"/>
        <w:rPr>
          <w:highlight w:val="lightGray"/>
        </w:rPr>
      </w:pPr>
      <w:r>
        <w:rPr>
          <w:highlight w:val="lightGray"/>
        </w:rPr>
        <w:t>Reference 1 - 0.12% Coverage</w:t>
      </w:r>
    </w:p>
    <w:p>
      <w:pPr>
        <w:pStyle w:val="TextBody"/>
        <w:bidi w:val="0"/>
        <w:spacing w:before="0" w:after="0"/>
        <w:jc w:val="left"/>
        <w:rPr/>
      </w:pPr>
      <w:r>
        <w:rPr/>
        <w:t>The proposal will also provide synergies with the Union’s Digital Single Market agenda and in the context of the future European Health Data Space, by encouraging innovation and research, facilitating the sharing of information and data</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