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1 reference coded [ 0.22% Coverage]</w:t>
      </w:r>
    </w:p>
    <w:p>
      <w:pPr>
        <w:pStyle w:val="TextBody"/>
        <w:bidi w:val="0"/>
        <w:spacing w:before="178" w:after="178"/>
        <w:ind w:left="178" w:right="178" w:hanging="0"/>
        <w:jc w:val="left"/>
        <w:rPr>
          <w:highlight w:val="lightGray"/>
        </w:rPr>
      </w:pPr>
      <w:r>
        <w:rPr>
          <w:highlight w:val="lightGray"/>
        </w:rPr>
        <w:t>Reference 1 - 0.22% Coverage</w:t>
      </w:r>
    </w:p>
    <w:p>
      <w:pPr>
        <w:pStyle w:val="TextBody"/>
        <w:bidi w:val="0"/>
        <w:spacing w:before="0" w:after="0"/>
        <w:jc w:val="left"/>
        <w:rPr/>
      </w:pPr>
      <w:r>
        <w:rPr/>
        <w:t>the coherence of the activities with relevant Union programmes;</w:t>
      </w:r>
    </w:p>
    <w:p>
      <w:pPr>
        <w:pStyle w:val="TextBody"/>
        <w:bidi w:val="0"/>
        <w:spacing w:before="178" w:after="178"/>
        <w:ind w:left="178" w:right="178" w:hanging="0"/>
        <w:jc w:val="left"/>
        <w:rPr>
          <w:highlight w:val="lightGray"/>
        </w:rPr>
      </w:pPr>
      <w:r>
        <w:rPr>
          <w:highlight w:val="lightGray"/>
        </w:rPr>
        <w:t>Files\\Communication from the Commission - § 1 reference coded [ 0.11% Coverage]</w:t>
      </w:r>
    </w:p>
    <w:p>
      <w:pPr>
        <w:pStyle w:val="TextBody"/>
        <w:bidi w:val="0"/>
        <w:spacing w:before="178" w:after="178"/>
        <w:ind w:left="178" w:right="178" w:hanging="0"/>
        <w:jc w:val="left"/>
        <w:rPr>
          <w:highlight w:val="lightGray"/>
        </w:rPr>
      </w:pPr>
      <w:r>
        <w:rPr>
          <w:highlight w:val="lightGray"/>
        </w:rPr>
        <w:t>Reference 1 - 0.11% Coverage</w:t>
      </w:r>
    </w:p>
    <w:p>
      <w:pPr>
        <w:pStyle w:val="TextBody"/>
        <w:bidi w:val="0"/>
        <w:spacing w:before="0" w:after="0"/>
        <w:jc w:val="left"/>
        <w:rPr/>
      </w:pPr>
      <w:r>
        <w:rPr/>
        <w:t>In both phases, HERA will integrate its operations with existing crisis management mechanisms2.</w:t>
      </w:r>
    </w:p>
    <w:p>
      <w:pPr>
        <w:pStyle w:val="TextBody"/>
        <w:bidi w:val="0"/>
        <w:spacing w:before="178" w:after="178"/>
        <w:ind w:left="178" w:right="178" w:hanging="0"/>
        <w:jc w:val="left"/>
        <w:rPr>
          <w:highlight w:val="lightGray"/>
        </w:rPr>
      </w:pPr>
      <w:r>
        <w:rPr>
          <w:highlight w:val="lightGray"/>
        </w:rPr>
        <w:t>Files\\Proposal for a Council Regulation - § 8 references coded [ 1.82% Coverage]</w:t>
      </w:r>
    </w:p>
    <w:p>
      <w:pPr>
        <w:pStyle w:val="TextBody"/>
        <w:bidi w:val="0"/>
        <w:spacing w:before="178" w:after="178"/>
        <w:ind w:left="178" w:right="178" w:hanging="0"/>
        <w:jc w:val="left"/>
        <w:rPr>
          <w:highlight w:val="lightGray"/>
        </w:rPr>
      </w:pPr>
      <w:r>
        <w:rPr>
          <w:highlight w:val="lightGray"/>
        </w:rPr>
        <w:t>Reference 1 - 0.05% Coverage</w:t>
      </w:r>
    </w:p>
    <w:p>
      <w:pPr>
        <w:pStyle w:val="TextBody"/>
        <w:bidi w:val="0"/>
        <w:spacing w:before="0" w:after="0"/>
        <w:jc w:val="left"/>
        <w:rPr/>
      </w:pPr>
      <w:r>
        <w:rPr/>
        <w:t>It is proposed in conjunction with the proposals put forward by the Commission in November 2020:</w:t>
      </w:r>
    </w:p>
    <w:p>
      <w:pPr>
        <w:pStyle w:val="TextBody"/>
        <w:bidi w:val="0"/>
        <w:spacing w:before="178" w:after="178"/>
        <w:ind w:left="178" w:right="178" w:hanging="0"/>
        <w:jc w:val="left"/>
        <w:rPr>
          <w:highlight w:val="lightGray"/>
        </w:rPr>
      </w:pPr>
      <w:r>
        <w:rPr>
          <w:highlight w:val="lightGray"/>
        </w:rPr>
        <w:t>Reference 2 - 0.22% Coverage</w:t>
      </w:r>
    </w:p>
    <w:p>
      <w:pPr>
        <w:pStyle w:val="TextBody"/>
        <w:bidi w:val="0"/>
        <w:spacing w:before="0" w:after="0"/>
        <w:jc w:val="left"/>
        <w:rPr/>
      </w:pPr>
      <w:r>
        <w:rPr/>
        <w:t>he Commission’s role to take action to ensure mitigation of potential or actual shortages of medicinal products on the critical medicines list and the need for medical countermeasures, in line with Articles 12 and 26 of the proposal for a Regulation of the European Parliament and of the Council on a reinforced role for the European Medicines Agency in crisis preparedness and management for medicinal products and medical devices.6</w:t>
      </w:r>
    </w:p>
    <w:p>
      <w:pPr>
        <w:pStyle w:val="TextBody"/>
        <w:bidi w:val="0"/>
        <w:spacing w:before="178" w:after="178"/>
        <w:ind w:left="178" w:right="178" w:hanging="0"/>
        <w:jc w:val="left"/>
        <w:rPr>
          <w:highlight w:val="lightGray"/>
        </w:rPr>
      </w:pPr>
      <w:r>
        <w:rPr>
          <w:highlight w:val="lightGray"/>
        </w:rPr>
        <w:t>Reference 3 - 0.37% Coverage</w:t>
      </w:r>
    </w:p>
    <w:p>
      <w:pPr>
        <w:pStyle w:val="TextBody"/>
        <w:bidi w:val="0"/>
        <w:spacing w:before="0" w:after="0"/>
        <w:jc w:val="left"/>
        <w:rPr/>
      </w:pPr>
      <w:r>
        <w:rPr/>
        <w:t xml:space="preserve">The proposed measures complement the following current Union measures in the fields of crisis response and health: – Regulation (EU) 2021/522 of the European Parliament and of the Council of 24 March 2021 establishing a Programme for the Union’s action in the field of health (‘EU4Health Programme’) for the period 2021-2027, and repealing Regulation (EU) No 282/20147; </w:t>
        <w:br/>
        <w:t xml:space="preserve">– – – </w:t>
        <w:br/>
        <w:t xml:space="preserve">the medical response envisaged under Decision No 1313/2013/EU of the European Parliament and of the Council on a Union Civil Protection Mechanism8; </w:t>
        <w:br/>
        <w:t xml:space="preserve">the Union’s Emergency Support Instrument (Council Regulation (EU) 2016/369 on the provision of emergency support within the Union9); and </w:t>
        <w:br/>
        <w:t>the proposed Pharmaceutical Strategy for Europe10.</w:t>
      </w:r>
    </w:p>
    <w:p>
      <w:pPr>
        <w:pStyle w:val="TextBody"/>
        <w:bidi w:val="0"/>
        <w:spacing w:before="178" w:after="178"/>
        <w:ind w:left="178" w:right="178" w:hanging="0"/>
        <w:jc w:val="left"/>
        <w:rPr>
          <w:highlight w:val="lightGray"/>
        </w:rPr>
      </w:pPr>
      <w:r>
        <w:rPr>
          <w:highlight w:val="lightGray"/>
        </w:rPr>
        <w:t>Reference 4 - 0.12% Coverage</w:t>
      </w:r>
    </w:p>
    <w:p>
      <w:pPr>
        <w:pStyle w:val="TextBody"/>
        <w:bidi w:val="0"/>
        <w:spacing w:before="0" w:after="0"/>
        <w:jc w:val="left"/>
        <w:rPr/>
      </w:pPr>
      <w:r>
        <w:rPr/>
        <w:t>The proposed measures also complement other policies and actions under the European Green Deal11 in the field of climate and environment that will support enhanced environmental health, disease prevention and increased resilience.</w:t>
      </w:r>
    </w:p>
    <w:p>
      <w:pPr>
        <w:pStyle w:val="TextBody"/>
        <w:bidi w:val="0"/>
        <w:spacing w:before="178" w:after="178"/>
        <w:ind w:left="178" w:right="178" w:hanging="0"/>
        <w:jc w:val="left"/>
        <w:rPr>
          <w:highlight w:val="lightGray"/>
        </w:rPr>
      </w:pPr>
      <w:r>
        <w:rPr>
          <w:highlight w:val="lightGray"/>
        </w:rPr>
        <w:t>Reference 5 - 0.27% Coverage</w:t>
      </w:r>
    </w:p>
    <w:p>
      <w:pPr>
        <w:pStyle w:val="TextBody"/>
        <w:bidi w:val="0"/>
        <w:spacing w:before="0" w:after="0"/>
        <w:jc w:val="left"/>
        <w:rPr/>
      </w:pPr>
      <w:r>
        <w:rPr/>
        <w:t>The proposed measures are in line with the overarching objectives of the Union. These include a stronger European Health Union, the smooth functioning of the internal market, fostering sustainable health systems including through the cohesion policy that supports regional authorities’ investments in public health and supporting cross-border cooperation notably in neighbouring regions, global health security preparedness, improved preparedness to protect workers12, and an ambitious research and innovation agenda</w:t>
      </w:r>
    </w:p>
    <w:p>
      <w:pPr>
        <w:pStyle w:val="TextBody"/>
        <w:bidi w:val="0"/>
        <w:spacing w:before="178" w:after="178"/>
        <w:ind w:left="178" w:right="178" w:hanging="0"/>
        <w:jc w:val="left"/>
        <w:rPr>
          <w:highlight w:val="lightGray"/>
        </w:rPr>
      </w:pPr>
      <w:r>
        <w:rPr>
          <w:highlight w:val="lightGray"/>
        </w:rPr>
        <w:t>Reference 6 - 0.32% Coverage</w:t>
      </w:r>
    </w:p>
    <w:p>
      <w:pPr>
        <w:pStyle w:val="TextBody"/>
        <w:bidi w:val="0"/>
        <w:spacing w:before="0" w:after="0"/>
        <w:jc w:val="left"/>
        <w:rPr/>
      </w:pPr>
      <w:r>
        <w:rPr/>
        <w:t>The measures should also take into consideration the structures and mechanisms set up by the Union acts on serious cross-border threats to health, Regulation (EU) …/… of the European Parliament and of the Council [SCBTH Regulation (COM/2020/727)]24, and on the extended mandate of the ECDC laid down by Regulation (EU) …/… of the European Parliament and of the Council [ECDC Regulation (COM/2020/726)]25, to ensure response coordination within the Health Security Committee and the Advisory Committee on public health emergencies, taking into account input by ECDC on epidemiological surveillance and monitoring</w:t>
      </w:r>
    </w:p>
    <w:p>
      <w:pPr>
        <w:pStyle w:val="TextBody"/>
        <w:bidi w:val="0"/>
        <w:spacing w:before="178" w:after="178"/>
        <w:ind w:left="178" w:right="178" w:hanging="0"/>
        <w:jc w:val="left"/>
        <w:rPr>
          <w:highlight w:val="lightGray"/>
        </w:rPr>
      </w:pPr>
      <w:r>
        <w:rPr>
          <w:highlight w:val="lightGray"/>
        </w:rPr>
        <w:t>Reference 7 - 0.22% Coverage</w:t>
      </w:r>
    </w:p>
    <w:p>
      <w:pPr>
        <w:pStyle w:val="TextBody"/>
        <w:bidi w:val="0"/>
        <w:spacing w:before="0" w:after="0"/>
        <w:jc w:val="left"/>
        <w:rPr/>
      </w:pPr>
      <w:r>
        <w:rPr/>
        <w:t>The HERA will be using funds within existing programmes under the MFF 20212027 such as the EU4Health programme, Horizon Europe Health Cluster, UCPM/RescEU. It will work in synergy and complementarity with existing EU policies and funds such as actions implemented under the Digital Europe Programme, the InvestEU fund, Single Market Programme, European Regional Development Fund or the Recovery and Resilience Facility.</w:t>
      </w:r>
    </w:p>
    <w:p>
      <w:pPr>
        <w:pStyle w:val="TextBody"/>
        <w:bidi w:val="0"/>
        <w:spacing w:before="178" w:after="178"/>
        <w:ind w:left="178" w:right="178" w:hanging="0"/>
        <w:jc w:val="left"/>
        <w:rPr>
          <w:highlight w:val="lightGray"/>
        </w:rPr>
      </w:pPr>
      <w:r>
        <w:rPr>
          <w:highlight w:val="lightGray"/>
        </w:rPr>
        <w:t>Reference 8 - 0.24% Coverage</w:t>
      </w:r>
    </w:p>
    <w:p>
      <w:pPr>
        <w:pStyle w:val="TextBody"/>
        <w:bidi w:val="0"/>
        <w:spacing w:before="0" w:after="0"/>
        <w:jc w:val="left"/>
        <w:rPr/>
      </w:pPr>
      <w:r>
        <w:rPr/>
        <w:t xml:space="preserve">Part of the activities envisaged to be managed by HERA and currently foreseen under specific EU programme (EU4Health / Horizon) are delegated to executive agencies. The HERA may decide to further delegate part of the implementation of its programmes to an executive agency. </w:t>
        <w:br/>
        <w:t>Moreover it may entrust decentralised Agencies (ECDC, EMA, EFSA, ECHA, Europol, EMCDDA, European Climate and Health Observatory) with tasks aiming to achieve the objectives of the HERA.</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