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178" w:after="178"/>
        <w:ind w:left="178" w:right="178" w:hanging="0"/>
        <w:jc w:val="left"/>
        <w:rPr>
          <w:highlight w:val="lightGray"/>
        </w:rPr>
      </w:pPr>
      <w:r>
        <w:rPr>
          <w:highlight w:val="lightGray"/>
        </w:rPr>
        <w:t>Files\\Communication from the Commission - § 2 references coded [ 0.52% Coverage]</w:t>
      </w:r>
    </w:p>
    <w:p>
      <w:pPr>
        <w:pStyle w:val="TextBody"/>
        <w:bidi w:val="0"/>
        <w:spacing w:before="178" w:after="178"/>
        <w:ind w:left="178" w:right="178" w:hanging="0"/>
        <w:jc w:val="left"/>
        <w:rPr>
          <w:highlight w:val="lightGray"/>
        </w:rPr>
      </w:pPr>
      <w:r>
        <w:rPr>
          <w:highlight w:val="lightGray"/>
        </w:rPr>
        <w:t>Reference 1 - 0.04% Coverage</w:t>
      </w:r>
    </w:p>
    <w:p>
      <w:pPr>
        <w:pStyle w:val="TextBody"/>
        <w:bidi w:val="0"/>
        <w:spacing w:before="0" w:after="0"/>
        <w:jc w:val="left"/>
        <w:rPr/>
      </w:pPr>
      <w:r>
        <w:rPr/>
        <w:t xml:space="preserve">• </w:t>
      </w:r>
      <w:r>
        <w:rPr/>
        <w:t>The activation of emergency funding.</w:t>
      </w:r>
    </w:p>
    <w:p>
      <w:pPr>
        <w:pStyle w:val="TextBody"/>
        <w:bidi w:val="0"/>
        <w:spacing w:before="178" w:after="178"/>
        <w:ind w:left="178" w:right="178" w:hanging="0"/>
        <w:jc w:val="left"/>
        <w:rPr>
          <w:highlight w:val="lightGray"/>
        </w:rPr>
      </w:pPr>
      <w:r>
        <w:rPr>
          <w:highlight w:val="lightGray"/>
        </w:rPr>
        <w:t>Reference 2 - 0.48% Coverage</w:t>
      </w:r>
    </w:p>
    <w:p>
      <w:pPr>
        <w:pStyle w:val="TextBody"/>
        <w:bidi w:val="0"/>
        <w:spacing w:before="0" w:after="0"/>
        <w:jc w:val="left"/>
        <w:rPr/>
      </w:pPr>
      <w:r>
        <w:rPr/>
        <w:t xml:space="preserve">In the event of a public health emergency at Union level, in order to ensure the necessary flexibility and rapidity in implementation, the Council could also trigger financing through the Emergency Support Instrument (ESI), demonstrated in the past to be both flexible and fast. During the COVID-19 crisis, the ESI27 </w:t>
        <w:br/>
        <w:t xml:space="preserve">proved efficient and effective in ensuring rapid and </w:t>
        <w:br/>
        <w:t>flexible funding, essential in times of urgency28.</w:t>
      </w:r>
    </w:p>
    <w:p>
      <w:pPr>
        <w:pStyle w:val="TextBody"/>
        <w:bidi w:val="0"/>
        <w:spacing w:before="178" w:after="178"/>
        <w:ind w:left="178" w:right="178" w:hanging="0"/>
        <w:jc w:val="left"/>
        <w:rPr>
          <w:highlight w:val="lightGray"/>
        </w:rPr>
      </w:pPr>
      <w:r>
        <w:rPr>
          <w:highlight w:val="lightGray"/>
        </w:rPr>
        <w:t>Files\\Communication from the Commission Annex - § 3 references coded [ 1.09% Coverage]</w:t>
      </w:r>
    </w:p>
    <w:p>
      <w:pPr>
        <w:pStyle w:val="TextBody"/>
        <w:bidi w:val="0"/>
        <w:spacing w:before="178" w:after="178"/>
        <w:ind w:left="178" w:right="178" w:hanging="0"/>
        <w:jc w:val="left"/>
        <w:rPr>
          <w:highlight w:val="lightGray"/>
        </w:rPr>
      </w:pPr>
      <w:r>
        <w:rPr>
          <w:highlight w:val="lightGray"/>
        </w:rPr>
        <w:t>Reference 1 - 0.46% Coverage</w:t>
      </w:r>
    </w:p>
    <w:p>
      <w:pPr>
        <w:pStyle w:val="TextBody"/>
        <w:bidi w:val="0"/>
        <w:spacing w:before="0" w:after="0"/>
        <w:jc w:val="left"/>
        <w:rPr/>
      </w:pPr>
      <w:r>
        <w:rPr/>
        <w:t xml:space="preserve">• </w:t>
      </w:r>
      <w:r>
        <w:rPr/>
        <w:t>Emergency funding instruments and requirements</w:t>
      </w:r>
    </w:p>
    <w:p>
      <w:pPr>
        <w:pStyle w:val="TextBody"/>
        <w:bidi w:val="0"/>
        <w:spacing w:before="178" w:after="178"/>
        <w:ind w:left="178" w:right="178" w:hanging="0"/>
        <w:jc w:val="left"/>
        <w:rPr>
          <w:highlight w:val="lightGray"/>
        </w:rPr>
      </w:pPr>
      <w:r>
        <w:rPr>
          <w:highlight w:val="lightGray"/>
        </w:rPr>
        <w:t>Reference 2 - 0.46% Coverage</w:t>
      </w:r>
    </w:p>
    <w:p>
      <w:pPr>
        <w:pStyle w:val="TextBody"/>
        <w:bidi w:val="0"/>
        <w:spacing w:before="0" w:after="0"/>
        <w:jc w:val="left"/>
        <w:rPr/>
      </w:pPr>
      <w:r>
        <w:rPr/>
        <w:t xml:space="preserve">• </w:t>
      </w:r>
      <w:r>
        <w:rPr/>
        <w:t>Emergency funding instruments and requirements</w:t>
      </w:r>
    </w:p>
    <w:p>
      <w:pPr>
        <w:pStyle w:val="TextBody"/>
        <w:bidi w:val="0"/>
        <w:spacing w:before="178" w:after="178"/>
        <w:ind w:left="178" w:right="178" w:hanging="0"/>
        <w:jc w:val="left"/>
        <w:rPr>
          <w:highlight w:val="lightGray"/>
        </w:rPr>
      </w:pPr>
      <w:r>
        <w:rPr>
          <w:highlight w:val="lightGray"/>
        </w:rPr>
        <w:t>Reference 3 - 0.18% Coverage</w:t>
      </w:r>
    </w:p>
    <w:p>
      <w:pPr>
        <w:pStyle w:val="TextBody"/>
        <w:bidi w:val="0"/>
        <w:spacing w:before="0" w:after="0"/>
        <w:jc w:val="left"/>
        <w:rPr/>
      </w:pPr>
      <w:r>
        <w:rPr/>
        <w:t xml:space="preserve">• </w:t>
      </w:r>
      <w:r>
        <w:rPr/>
        <w:t>Emergency funding</w:t>
      </w:r>
    </w:p>
    <w:p>
      <w:pPr>
        <w:pStyle w:val="TextBody"/>
        <w:bidi w:val="0"/>
        <w:spacing w:before="178" w:after="178"/>
        <w:ind w:left="178" w:right="178" w:hanging="0"/>
        <w:jc w:val="left"/>
        <w:rPr>
          <w:highlight w:val="lightGray"/>
        </w:rPr>
      </w:pPr>
      <w:r>
        <w:rPr>
          <w:highlight w:val="lightGray"/>
        </w:rPr>
        <w:t>Files\\Press Release - § 1 reference coded [ 1.04% Coverage]</w:t>
      </w:r>
    </w:p>
    <w:p>
      <w:pPr>
        <w:pStyle w:val="TextBody"/>
        <w:bidi w:val="0"/>
        <w:spacing w:before="178" w:after="178"/>
        <w:ind w:left="178" w:right="178" w:hanging="0"/>
        <w:jc w:val="left"/>
        <w:rPr>
          <w:highlight w:val="lightGray"/>
        </w:rPr>
      </w:pPr>
      <w:r>
        <w:rPr>
          <w:highlight w:val="lightGray"/>
        </w:rPr>
        <w:t>Reference 1 - 1.04% Coverage</w:t>
      </w:r>
    </w:p>
    <w:p>
      <w:pPr>
        <w:pStyle w:val="TextBody"/>
        <w:bidi w:val="0"/>
        <w:spacing w:before="0" w:after="0"/>
        <w:jc w:val="left"/>
        <w:rPr/>
      </w:pPr>
      <w:r>
        <w:rPr/>
        <w:t>It will activate emergency funding and launch mechanisms for monitoring, new targeted development, procurement and purchase of medical countermeasures and raw materials.</w:t>
      </w:r>
    </w:p>
    <w:p>
      <w:pPr>
        <w:pStyle w:val="TextBody"/>
        <w:bidi w:val="0"/>
        <w:spacing w:before="178" w:after="178"/>
        <w:ind w:left="178" w:right="178" w:hanging="0"/>
        <w:jc w:val="left"/>
        <w:rPr>
          <w:highlight w:val="lightGray"/>
        </w:rPr>
      </w:pPr>
      <w:r>
        <w:rPr>
          <w:highlight w:val="lightGray"/>
        </w:rPr>
        <w:t>Files\\Proposal for a Council Regulation - § 2 references coded [ 0.21% Coverage]</w:t>
      </w:r>
    </w:p>
    <w:p>
      <w:pPr>
        <w:pStyle w:val="TextBody"/>
        <w:bidi w:val="0"/>
        <w:spacing w:before="178" w:after="178"/>
        <w:ind w:left="178" w:right="178" w:hanging="0"/>
        <w:jc w:val="left"/>
        <w:rPr>
          <w:highlight w:val="lightGray"/>
        </w:rPr>
      </w:pPr>
      <w:r>
        <w:rPr>
          <w:highlight w:val="lightGray"/>
        </w:rPr>
        <w:t>Reference 1 - 0.19% Coverage</w:t>
      </w:r>
    </w:p>
    <w:p>
      <w:pPr>
        <w:pStyle w:val="TextBody"/>
        <w:bidi w:val="0"/>
        <w:spacing w:before="0" w:after="0"/>
        <w:jc w:val="left"/>
        <w:rPr/>
      </w:pPr>
      <w:r>
        <w:rPr/>
        <w:t>Council Regulation (EU) 2016/36929 provides for a flexible framework for emergency financial support. It allows to provide support that cannot be implemented through the existing spending programmes. Such a tool should become available if there is a recognition of a public health emergency at Union level to the extent that that is appropriate to the economic situation.</w:t>
      </w:r>
    </w:p>
    <w:p>
      <w:pPr>
        <w:pStyle w:val="TextBody"/>
        <w:bidi w:val="0"/>
        <w:spacing w:before="178" w:after="178"/>
        <w:ind w:left="178" w:right="178" w:hanging="0"/>
        <w:jc w:val="left"/>
        <w:rPr>
          <w:highlight w:val="lightGray"/>
        </w:rPr>
      </w:pPr>
      <w:r>
        <w:rPr>
          <w:highlight w:val="lightGray"/>
        </w:rPr>
        <w:t>Reference 2 - 0.02% Coverage</w:t>
      </w:r>
    </w:p>
    <w:p>
      <w:pPr>
        <w:pStyle w:val="TextBody"/>
        <w:bidi w:val="0"/>
        <w:spacing w:before="0" w:after="0"/>
        <w:jc w:val="left"/>
        <w:rPr/>
      </w:pPr>
      <w:r>
        <w:rPr/>
        <w:t>emergency funding and financing</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en-GB"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Songti SC" w:cs="Arial Unicode MS"/>
      <w:color w:val="auto"/>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LibreOffice/6.4.7.2$MacOSX_X86_64 LibreOffice_project/639b8ac485750d5696d7590a72ef1b496725cfb5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cp:revision>0</cp:revision>
  <dc:subject/>
  <dc:title/>
</cp:coreProperties>
</file>