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Files\\Communication from the Commission - § 1 reference coded [ 0.35%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1 - 0.35%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The new Health Emergency preparedness and Response Authority (HERA) is set up to strengthen Europe’s ability to prevent, detect, and rapidly respond to cross-border health emergencies, by ensuring the development, manufacturing, procurement, and equitable distribution of key medical countermeasures.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Files\\Proposal for a Council Regulation - § 5 references coded [ 0.59% Coverage]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1 - 0.05% Coverage</w:t>
      </w:r>
    </w:p>
    <w:p>
      <w:pPr>
        <w:pStyle w:val="TextBody"/>
        <w:bidi w:val="0"/>
        <w:spacing w:before="0" w:after="0"/>
        <w:jc w:val="left"/>
        <w:rPr/>
      </w:pPr>
      <w:r>
        <w:rPr/>
        <w:t>In November 2020, the Commission had put forward proposals for a stronger European Health Union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2 - 0.06%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They will complement the development of HERA as a new driver for Union action to address cross-border threats.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3 - 0.09% Coverage</w:t>
      </w:r>
    </w:p>
    <w:p>
      <w:pPr>
        <w:pStyle w:val="TextBody"/>
        <w:bidi w:val="0"/>
        <w:spacing w:before="0" w:after="0"/>
        <w:jc w:val="left"/>
        <w:rPr/>
      </w:pPr>
      <w:r>
        <w:rPr/>
        <w:t>the absence of fully functional publicprivate ecosystems, which did not allow the Union to take a proactive approach with strategic and well-informed interventions,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4 - 0.31% Coverage</w:t>
      </w:r>
    </w:p>
    <w:p>
      <w:pPr>
        <w:pStyle w:val="TextBody"/>
        <w:bidi w:val="0"/>
        <w:spacing w:before="0" w:after="0"/>
        <w:jc w:val="left"/>
        <w:rPr/>
      </w:pPr>
      <w:r>
        <w:rPr/>
        <w:t>But others require powers, instruments and actions which are only appropriate to cross border emergency situations. The Union did not have a specific emergency mandate for the coordination of Union activities able to ensure rapid availability and accessibility of crisis-relevant medical countermeasures for all Member States. Member States each had different capacities to prepare, respond with and manage crisis-relevant medical countermeasures. Neither national nor EU level had the capacity to respond as required already in place: the response had to be created from imperfect foundations.</w:t>
      </w:r>
    </w:p>
    <w:p>
      <w:pPr>
        <w:pStyle w:val="TextBody"/>
        <w:bidi w:val="0"/>
        <w:spacing w:before="178" w:after="178"/>
        <w:ind w:left="178" w:right="178" w:hanging="0"/>
        <w:jc w:val="left"/>
        <w:rPr>
          <w:highlight w:val="lightGray"/>
        </w:rPr>
      </w:pPr>
      <w:r>
        <w:rPr>
          <w:highlight w:val="lightGray"/>
        </w:rPr>
        <w:t>Reference 5 - 0.09% Coverage</w:t>
      </w:r>
    </w:p>
    <w:p>
      <w:pPr>
        <w:pStyle w:val="TextBody"/>
        <w:bidi w:val="0"/>
        <w:spacing w:before="0" w:after="0"/>
        <w:jc w:val="left"/>
        <w:rPr/>
      </w:pPr>
      <w:r>
        <w:rPr/>
        <w:t>solidifying the Union’s capacity to support timely availability and accessibility for crisis-relevant medical countermeasures during a public health emergency.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Songti SC" w:cs="Arial Unicode M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LibreOffice/6.4.7.2$MacOSX_X86_64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cp:revision>0</cp:revision>
  <dc:subject/>
  <dc:title/>
</cp:coreProperties>
</file>