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Files\\Commission Decision - § 1 reference coded [ 0.56%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1 - 0.56% Coverage</w:t>
      </w:r>
    </w:p>
    <w:p>
      <w:pPr>
        <w:pStyle w:val="TextBody"/>
        <w:bidi w:val="0"/>
        <w:spacing w:before="0" w:after="0"/>
        <w:jc w:val="left"/>
        <w:rPr/>
      </w:pPr>
      <w:r>
        <w:rPr/>
        <w:t>HERA’s activities shall respect the governance of contributing Union programmes, in particular EU4Health, Horizon Europe and Union Civil Protection Mechanism;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Files\\Communication from the Commission - § 3 references coded [ 0.42%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1 - 0.12%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The Union Civil Protection Mechanism has already shown the potential for EU action to bring major benefits.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2 - 0.18% Coverage</w:t>
      </w:r>
    </w:p>
    <w:p>
      <w:pPr>
        <w:pStyle w:val="TextBody"/>
        <w:bidi w:val="0"/>
        <w:spacing w:before="0" w:after="0"/>
        <w:jc w:val="left"/>
        <w:rPr/>
      </w:pPr>
      <w:r>
        <w:rPr/>
        <w:t>v Provide operational recommendations to the Union Civil Protection Mechanism with regard to medical countermeasures and their stockpiling and deployment.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3 - 0.11%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The Union Civil Protection Mechanism has important experience in areas such as building stockpiles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