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2 references coded [ 2.83% Coverage]</w:t>
      </w:r>
    </w:p>
    <w:p>
      <w:pPr>
        <w:pStyle w:val="TextBody"/>
        <w:bidi w:val="0"/>
        <w:spacing w:before="178" w:after="178"/>
        <w:ind w:left="178" w:right="178" w:hanging="0"/>
        <w:jc w:val="left"/>
        <w:rPr>
          <w:highlight w:val="lightGray"/>
        </w:rPr>
      </w:pPr>
      <w:r>
        <w:rPr>
          <w:highlight w:val="lightGray"/>
        </w:rPr>
        <w:t>Reference 1 - 1.60% Coverage</w:t>
      </w:r>
    </w:p>
    <w:p>
      <w:pPr>
        <w:pStyle w:val="TextBody"/>
        <w:bidi w:val="0"/>
        <w:spacing w:before="0" w:after="0"/>
        <w:jc w:val="left"/>
        <w:rPr/>
      </w:pPr>
      <w:r>
        <w:rPr/>
        <w:t>In light of the experience with the first months of the COVID-19 pandemic, the President of the Commission called in the 2020 State of the Union address to draw lessons from the current crisis and to build a European Health Union, including a dedicated European structure for biomedical advanced research and development to support capacity and readiness to respond to cross-border health threats and emergencies – whether of natural, accidental or deliberate origin.</w:t>
      </w:r>
    </w:p>
    <w:p>
      <w:pPr>
        <w:pStyle w:val="TextBody"/>
        <w:bidi w:val="0"/>
        <w:spacing w:before="178" w:after="178"/>
        <w:ind w:left="178" w:right="178" w:hanging="0"/>
        <w:jc w:val="left"/>
        <w:rPr>
          <w:highlight w:val="lightGray"/>
        </w:rPr>
      </w:pPr>
      <w:r>
        <w:rPr>
          <w:highlight w:val="lightGray"/>
        </w:rPr>
        <w:t>Reference 2 - 1.23% Coverage</w:t>
      </w:r>
    </w:p>
    <w:p>
      <w:pPr>
        <w:pStyle w:val="TextBody"/>
        <w:bidi w:val="0"/>
        <w:spacing w:before="0" w:after="0"/>
        <w:jc w:val="left"/>
        <w:rPr/>
      </w:pPr>
      <w:r>
        <w:rPr/>
        <w:t>(‘HERA’) will be a key element for the establishment of a stronger European Health Union, together with a strengthened cross-border health threats legal framework, and with extended and improved crisis related mandates for the European Centre for Disease Prevention and Control, the European Medicines Agency and the Pharmaceutical Strategy for Europe.</w:t>
      </w:r>
    </w:p>
    <w:p>
      <w:pPr>
        <w:pStyle w:val="TextBody"/>
        <w:bidi w:val="0"/>
        <w:spacing w:before="178" w:after="178"/>
        <w:ind w:left="178" w:right="178" w:hanging="0"/>
        <w:jc w:val="left"/>
        <w:rPr>
          <w:highlight w:val="lightGray"/>
        </w:rPr>
      </w:pPr>
      <w:r>
        <w:rPr>
          <w:highlight w:val="lightGray"/>
        </w:rPr>
        <w:t>Files\\Communication from the Commission - § 2 references coded [ 1.24% Coverage]</w:t>
      </w:r>
    </w:p>
    <w:p>
      <w:pPr>
        <w:pStyle w:val="TextBody"/>
        <w:bidi w:val="0"/>
        <w:spacing w:before="178" w:after="178"/>
        <w:ind w:left="178" w:right="178" w:hanging="0"/>
        <w:jc w:val="left"/>
        <w:rPr>
          <w:highlight w:val="lightGray"/>
        </w:rPr>
      </w:pPr>
      <w:r>
        <w:rPr>
          <w:highlight w:val="lightGray"/>
        </w:rPr>
        <w:t>Reference 1 - 0.17% Coverage</w:t>
      </w:r>
    </w:p>
    <w:p>
      <w:pPr>
        <w:pStyle w:val="TextBody"/>
        <w:bidi w:val="0"/>
        <w:spacing w:before="0" w:after="0"/>
        <w:jc w:val="left"/>
        <w:rPr/>
      </w:pPr>
      <w:r>
        <w:rPr/>
        <w:t>Introducing HERA, the European Health Emergency preparedness and Response Authority, the next step towards completing the European Health Union</w:t>
      </w:r>
    </w:p>
    <w:p>
      <w:pPr>
        <w:pStyle w:val="TextBody"/>
        <w:bidi w:val="0"/>
        <w:spacing w:before="178" w:after="178"/>
        <w:ind w:left="178" w:right="178" w:hanging="0"/>
        <w:jc w:val="left"/>
        <w:rPr>
          <w:highlight w:val="lightGray"/>
        </w:rPr>
      </w:pPr>
      <w:r>
        <w:rPr>
          <w:highlight w:val="lightGray"/>
        </w:rPr>
        <w:t>Reference 2 - 1.08% Coverage</w:t>
      </w:r>
    </w:p>
    <w:p>
      <w:pPr>
        <w:pStyle w:val="TextBody"/>
        <w:bidi w:val="0"/>
        <w:spacing w:before="0" w:after="0"/>
        <w:jc w:val="left"/>
        <w:rPr/>
      </w:pPr>
      <w:r>
        <w:rPr/>
        <w:t xml:space="preserve">The EU has already undertaken key initiatives to build a European Health Union by reinforcing our collective health security framework. In November 2020, the Commission tabled proposals to reinforce the mandates of the ECDC and EMA and to strengthen the EU health security framework with a new regulation on cross-border health threats. </w:t>
        <w:br/>
        <w:t>HERA will complement and bring added value to the work conducted by ECDC and EMA in both preparedness and crisis times, thus becoming a crucial pillar of the European Health Union. Compared to the ECDC, HERA will have a stronger anticipatory, forward-looking and response-focused dimension in terms of threat assessments and foresight. EMA’s scientific advice on the safety, effectiveness and high-quality of medical products will be a key input to the work of HERA’s much broader work on development and production capacities, stockpiling and deployment mechanisms for vaccines, therapeutics and diagnostics.</w:t>
      </w:r>
    </w:p>
    <w:p>
      <w:pPr>
        <w:pStyle w:val="TextBody"/>
        <w:bidi w:val="0"/>
        <w:spacing w:before="178" w:after="178"/>
        <w:ind w:left="178" w:right="178" w:hanging="0"/>
        <w:jc w:val="left"/>
        <w:rPr>
          <w:highlight w:val="lightGray"/>
        </w:rPr>
      </w:pPr>
      <w:r>
        <w:rPr>
          <w:highlight w:val="lightGray"/>
        </w:rPr>
        <w:t>Files\\Communication from the Commission Annex - § 1 reference coded [ 1.32% Coverage]</w:t>
      </w:r>
    </w:p>
    <w:p>
      <w:pPr>
        <w:pStyle w:val="TextBody"/>
        <w:bidi w:val="0"/>
        <w:spacing w:before="178" w:after="178"/>
        <w:ind w:left="178" w:right="178" w:hanging="0"/>
        <w:jc w:val="left"/>
        <w:rPr>
          <w:highlight w:val="lightGray"/>
        </w:rPr>
      </w:pPr>
      <w:r>
        <w:rPr>
          <w:highlight w:val="lightGray"/>
        </w:rPr>
        <w:t>Reference 1 - 1.32% Coverage</w:t>
      </w:r>
    </w:p>
    <w:p>
      <w:pPr>
        <w:pStyle w:val="TextBody"/>
        <w:bidi w:val="0"/>
        <w:spacing w:before="0" w:after="0"/>
        <w:jc w:val="left"/>
        <w:rPr/>
      </w:pPr>
      <w:r>
        <w:rPr/>
        <w:t>Introducing HERA, the European Health Emergency Preparedness and Response Authority, the next step towards completing the European Health Union</w:t>
      </w:r>
    </w:p>
    <w:p>
      <w:pPr>
        <w:pStyle w:val="TextBody"/>
        <w:bidi w:val="0"/>
        <w:spacing w:before="178" w:after="178"/>
        <w:ind w:left="178" w:right="178" w:hanging="0"/>
        <w:jc w:val="left"/>
        <w:rPr>
          <w:highlight w:val="lightGray"/>
        </w:rPr>
      </w:pPr>
      <w:r>
        <w:rPr>
          <w:highlight w:val="lightGray"/>
        </w:rPr>
        <w:t>Files\\Press Release - § 3 references coded [ 8.15% Coverage]</w:t>
      </w:r>
    </w:p>
    <w:p>
      <w:pPr>
        <w:pStyle w:val="TextBody"/>
        <w:bidi w:val="0"/>
        <w:spacing w:before="178" w:after="178"/>
        <w:ind w:left="178" w:right="178" w:hanging="0"/>
        <w:jc w:val="left"/>
        <w:rPr>
          <w:highlight w:val="lightGray"/>
        </w:rPr>
      </w:pPr>
      <w:r>
        <w:rPr>
          <w:highlight w:val="lightGray"/>
        </w:rPr>
        <w:t>Reference 1 - 1.16% Coverage</w:t>
      </w:r>
    </w:p>
    <w:p>
      <w:pPr>
        <w:pStyle w:val="TextBody"/>
        <w:bidi w:val="0"/>
        <w:spacing w:before="0" w:after="0"/>
        <w:jc w:val="left"/>
        <w:rPr/>
      </w:pPr>
      <w:r>
        <w:rPr/>
        <w:t>HERA is a key pillar of the European Health Union announced by President von der Leyen in her 2020 State of the Union address and will fill a gap in the EU’s health emergency response and preparedness.</w:t>
      </w:r>
    </w:p>
    <w:p>
      <w:pPr>
        <w:pStyle w:val="TextBody"/>
        <w:bidi w:val="0"/>
        <w:spacing w:before="178" w:after="178"/>
        <w:ind w:left="178" w:right="178" w:hanging="0"/>
        <w:jc w:val="left"/>
        <w:rPr>
          <w:highlight w:val="lightGray"/>
        </w:rPr>
      </w:pPr>
      <w:r>
        <w:rPr>
          <w:highlight w:val="lightGray"/>
        </w:rPr>
        <w:t>Reference 2 - 2.51% Coverage</w:t>
      </w:r>
    </w:p>
    <w:p>
      <w:pPr>
        <w:pStyle w:val="TextBody"/>
        <w:bidi w:val="0"/>
        <w:spacing w:before="0" w:after="0"/>
        <w:jc w:val="left"/>
        <w:rPr/>
      </w:pPr>
      <w:r>
        <w:rPr/>
        <w:t>President of the European Commission, Ursula von der Leyen, stated: “HERA is another building block of a stronger Health Union and a major step forward for our crisis preparedness. With HERA, we will make sure we have the medical equipment we need to protect our citizens from future health threats. HERA will be able to make swift decisions to safeguard supplies. This is what I promised back in 2020, and this is what we deliver.”</w:t>
      </w:r>
    </w:p>
    <w:p>
      <w:pPr>
        <w:pStyle w:val="TextBody"/>
        <w:bidi w:val="0"/>
        <w:spacing w:before="178" w:after="178"/>
        <w:ind w:left="178" w:right="178" w:hanging="0"/>
        <w:jc w:val="left"/>
        <w:rPr>
          <w:highlight w:val="lightGray"/>
        </w:rPr>
      </w:pPr>
      <w:r>
        <w:rPr>
          <w:highlight w:val="lightGray"/>
        </w:rPr>
        <w:t>Reference 3 - 4.48% Coverage</w:t>
      </w:r>
    </w:p>
    <w:p>
      <w:pPr>
        <w:pStyle w:val="TextBody"/>
        <w:bidi w:val="0"/>
        <w:spacing w:before="0" w:after="0"/>
        <w:jc w:val="left"/>
        <w:rPr/>
      </w:pPr>
      <w:r>
        <w:rPr/>
        <w:t>Stella Kyriakides, Commissioner for Health and Food Safety, said: “HERA is a crucial centerpiece of a strong European Health Union. With HERA we will be able to anticipate threats through horizon scanning, coordinate our actions to respond in a timely fashion through the development, procurement, and distribution of critical medical countermeasures at EU level. It is a unique health security structure allowing us to be ahead of the curve. Health security is becoming a collective endeavor in the EU. After almost two years of a devastating pandemic, HERA is a symbol of the mindset-shift on health policy that we should all rally behind – it is when we act together that we are stronger and able to make a real difference for the health security of our citizens.”</w:t>
      </w:r>
    </w:p>
    <w:p>
      <w:pPr>
        <w:pStyle w:val="TextBody"/>
        <w:bidi w:val="0"/>
        <w:spacing w:before="178" w:after="178"/>
        <w:ind w:left="178" w:right="178" w:hanging="0"/>
        <w:jc w:val="left"/>
        <w:rPr>
          <w:highlight w:val="lightGray"/>
        </w:rPr>
      </w:pPr>
      <w:r>
        <w:rPr>
          <w:highlight w:val="lightGray"/>
        </w:rPr>
        <w:t>Files\\Proposal for a Council Regulation - § 2 references coded [ 0.06% Coverage]</w:t>
      </w:r>
    </w:p>
    <w:p>
      <w:pPr>
        <w:pStyle w:val="TextBody"/>
        <w:bidi w:val="0"/>
        <w:spacing w:before="178" w:after="178"/>
        <w:ind w:left="178" w:right="178" w:hanging="0"/>
        <w:jc w:val="left"/>
        <w:rPr>
          <w:highlight w:val="lightGray"/>
        </w:rPr>
      </w:pPr>
      <w:r>
        <w:rPr>
          <w:highlight w:val="lightGray"/>
        </w:rPr>
        <w:t>Reference 1 - 0.05% Coverage</w:t>
      </w:r>
    </w:p>
    <w:p>
      <w:pPr>
        <w:pStyle w:val="TextBody"/>
        <w:bidi w:val="0"/>
        <w:spacing w:before="0" w:after="0"/>
        <w:jc w:val="left"/>
        <w:rPr/>
      </w:pPr>
      <w:r>
        <w:rPr/>
        <w:t>This proposal for a Regulation forms one of the main pillars of the European Health Union</w:t>
      </w:r>
    </w:p>
    <w:p>
      <w:pPr>
        <w:pStyle w:val="TextBody"/>
        <w:bidi w:val="0"/>
        <w:spacing w:before="178" w:after="178"/>
        <w:ind w:left="178" w:right="178" w:hanging="0"/>
        <w:jc w:val="left"/>
        <w:rPr>
          <w:highlight w:val="lightGray"/>
        </w:rPr>
      </w:pPr>
      <w:r>
        <w:rPr>
          <w:highlight w:val="lightGray"/>
        </w:rPr>
        <w:t>Reference 2 - 0.02% Coverage</w:t>
      </w:r>
    </w:p>
    <w:p>
      <w:pPr>
        <w:pStyle w:val="TextBody"/>
        <w:bidi w:val="0"/>
        <w:spacing w:before="0" w:after="0"/>
        <w:jc w:val="left"/>
        <w:rPr/>
      </w:pPr>
      <w:r>
        <w:rPr/>
        <w:t>a stronger European Health Union</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