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8 references coded [ 6.89% Coverage]</w:t>
      </w:r>
    </w:p>
    <w:p>
      <w:pPr>
        <w:pStyle w:val="TextBody"/>
        <w:bidi w:val="0"/>
        <w:spacing w:before="178" w:after="178"/>
        <w:ind w:left="178" w:right="178" w:hanging="0"/>
        <w:jc w:val="left"/>
        <w:rPr>
          <w:highlight w:val="lightGray"/>
        </w:rPr>
      </w:pPr>
      <w:r>
        <w:rPr>
          <w:highlight w:val="lightGray"/>
        </w:rPr>
        <w:t>Reference 1 - 0.65% Coverage</w:t>
      </w:r>
    </w:p>
    <w:p>
      <w:pPr>
        <w:pStyle w:val="TextBody"/>
        <w:bidi w:val="0"/>
        <w:spacing w:before="0" w:after="0"/>
        <w:jc w:val="left"/>
        <w:rPr/>
      </w:pPr>
      <w:r>
        <w:rPr/>
        <w:t>The European Parliament, the European Council and the Council have called for proactive Union action and for ensuring preparedness and the ability to act jointly to respond to health crises.</w:t>
      </w:r>
    </w:p>
    <w:p>
      <w:pPr>
        <w:pStyle w:val="TextBody"/>
        <w:bidi w:val="0"/>
        <w:spacing w:before="178" w:after="178"/>
        <w:ind w:left="178" w:right="178" w:hanging="0"/>
        <w:jc w:val="left"/>
        <w:rPr>
          <w:highlight w:val="lightGray"/>
        </w:rPr>
      </w:pPr>
      <w:r>
        <w:rPr>
          <w:highlight w:val="lightGray"/>
        </w:rPr>
        <w:t>Reference 2 - 1.15% Coverage</w:t>
      </w:r>
    </w:p>
    <w:p>
      <w:pPr>
        <w:pStyle w:val="TextBody"/>
        <w:bidi w:val="0"/>
        <w:spacing w:before="0" w:after="0"/>
        <w:jc w:val="left"/>
        <w:rPr/>
      </w:pPr>
      <w:r>
        <w:rPr/>
        <w:t>The need to increase the effectiveness of preparedness and response to health emergencies requires the establishment of a dedicated central structure, HERA as a Commission service, complementary to and in synergy with the existing Union structures and mechanisms, including the Union’s crisis preparedness and management system.</w:t>
      </w:r>
    </w:p>
    <w:p>
      <w:pPr>
        <w:pStyle w:val="TextBody"/>
        <w:bidi w:val="0"/>
        <w:spacing w:before="178" w:after="178"/>
        <w:ind w:left="178" w:right="178" w:hanging="0"/>
        <w:jc w:val="left"/>
        <w:rPr>
          <w:highlight w:val="lightGray"/>
        </w:rPr>
      </w:pPr>
      <w:r>
        <w:rPr>
          <w:highlight w:val="lightGray"/>
        </w:rPr>
        <w:t>Reference 3 - 0.84% Coverage</w:t>
      </w:r>
    </w:p>
    <w:p>
      <w:pPr>
        <w:pStyle w:val="TextBody"/>
        <w:bidi w:val="0"/>
        <w:spacing w:before="0" w:after="0"/>
        <w:jc w:val="left"/>
        <w:rPr/>
      </w:pPr>
      <w:r>
        <w:rPr/>
        <w:t>As set out in the Communication on the Health Emergency Preparedness and Response Authority, HERA will be tasked with two functional ‘modes’: preparedness and crisis response following a recognition of a public health emergency at Union level,</w:t>
      </w:r>
    </w:p>
    <w:p>
      <w:pPr>
        <w:pStyle w:val="TextBody"/>
        <w:bidi w:val="0"/>
        <w:spacing w:before="178" w:after="178"/>
        <w:ind w:left="178" w:right="178" w:hanging="0"/>
        <w:jc w:val="left"/>
        <w:rPr>
          <w:highlight w:val="lightGray"/>
        </w:rPr>
      </w:pPr>
      <w:r>
        <w:rPr>
          <w:highlight w:val="lightGray"/>
        </w:rPr>
        <w:t>Reference 4 - 1.24% Coverage</w:t>
      </w:r>
    </w:p>
    <w:p>
      <w:pPr>
        <w:pStyle w:val="TextBody"/>
        <w:bidi w:val="0"/>
        <w:spacing w:before="0" w:after="0"/>
        <w:jc w:val="left"/>
        <w:rPr/>
      </w:pPr>
      <w:r>
        <w:rPr/>
        <w:t xml:space="preserve">HERA shall work to improve preparedness and response to serious cross-border threats in the area of medical countermeasures, in particular by: </w:t>
        <w:br/>
        <w:t xml:space="preserve">(a) </w:t>
        <w:br/>
        <w:t>strengthening health security coordination within the Union during preparedness and crisis response times, and bringing together Member States, the industry and the relevant stakeholders in a common effort;</w:t>
      </w:r>
    </w:p>
    <w:p>
      <w:pPr>
        <w:pStyle w:val="TextBody"/>
        <w:bidi w:val="0"/>
        <w:spacing w:before="178" w:after="178"/>
        <w:ind w:left="178" w:right="178" w:hanging="0"/>
        <w:jc w:val="left"/>
        <w:rPr>
          <w:highlight w:val="lightGray"/>
        </w:rPr>
      </w:pPr>
      <w:r>
        <w:rPr>
          <w:highlight w:val="lightGray"/>
        </w:rPr>
        <w:t>Reference 5 - 0.59% Coverage</w:t>
      </w:r>
    </w:p>
    <w:p>
      <w:pPr>
        <w:pStyle w:val="TextBody"/>
        <w:bidi w:val="0"/>
        <w:spacing w:before="0" w:after="0"/>
        <w:jc w:val="left"/>
        <w:rPr/>
      </w:pPr>
      <w:r>
        <w:rPr/>
        <w:t xml:space="preserve">(f) </w:t>
        <w:br/>
        <w:t xml:space="preserve">increasing stockpiling capacity of medical countermeasures; </w:t>
        <w:br/>
        <w:t>strengthening knowledge and skills in preparedness and response related to medical countermeasures.</w:t>
      </w:r>
    </w:p>
    <w:p>
      <w:pPr>
        <w:pStyle w:val="TextBody"/>
        <w:bidi w:val="0"/>
        <w:spacing w:before="178" w:after="178"/>
        <w:ind w:left="178" w:right="178" w:hanging="0"/>
        <w:jc w:val="left"/>
        <w:rPr>
          <w:highlight w:val="lightGray"/>
        </w:rPr>
      </w:pPr>
      <w:r>
        <w:rPr>
          <w:highlight w:val="lightGray"/>
        </w:rPr>
        <w:t>Reference 6 - 0.64% Coverage</w:t>
      </w:r>
    </w:p>
    <w:p>
      <w:pPr>
        <w:pStyle w:val="TextBody"/>
        <w:bidi w:val="0"/>
        <w:spacing w:before="0" w:after="0"/>
        <w:jc w:val="left"/>
        <w:rPr/>
      </w:pPr>
      <w:r>
        <w:rPr/>
        <w:t xml:space="preserve">(a) </w:t>
        <w:br/>
        <w:t>the functions of HERA within the Union’s crisis preparedness and response management, research and innovation as well as industrial strategy in the area of medical countermeasures;</w:t>
      </w:r>
    </w:p>
    <w:p>
      <w:pPr>
        <w:pStyle w:val="TextBody"/>
        <w:bidi w:val="0"/>
        <w:spacing w:before="178" w:after="178"/>
        <w:ind w:left="178" w:right="178" w:hanging="0"/>
        <w:jc w:val="left"/>
        <w:rPr>
          <w:highlight w:val="lightGray"/>
        </w:rPr>
      </w:pPr>
      <w:r>
        <w:rPr>
          <w:highlight w:val="lightGray"/>
        </w:rPr>
        <w:t>Reference 7 - 0.40% Coverage</w:t>
      </w:r>
    </w:p>
    <w:p>
      <w:pPr>
        <w:pStyle w:val="TextBody"/>
        <w:bidi w:val="0"/>
        <w:spacing w:before="0" w:after="0"/>
        <w:jc w:val="left"/>
        <w:rPr/>
      </w:pPr>
      <w:r>
        <w:rPr/>
        <w:t>support for capacity building for Member States for preparedness and response related to medical countermeasures;</w:t>
      </w:r>
    </w:p>
    <w:p>
      <w:pPr>
        <w:pStyle w:val="TextBody"/>
        <w:bidi w:val="0"/>
        <w:spacing w:before="178" w:after="178"/>
        <w:ind w:left="178" w:right="178" w:hanging="0"/>
        <w:jc w:val="left"/>
        <w:rPr>
          <w:highlight w:val="lightGray"/>
        </w:rPr>
      </w:pPr>
      <w:r>
        <w:rPr>
          <w:highlight w:val="lightGray"/>
        </w:rPr>
        <w:t>Reference 8 - 1.37% Coverage</w:t>
      </w:r>
    </w:p>
    <w:p>
      <w:pPr>
        <w:pStyle w:val="TextBody"/>
        <w:bidi w:val="0"/>
        <w:spacing w:before="0" w:after="0"/>
        <w:jc w:val="left"/>
        <w:rPr/>
      </w:pPr>
      <w:r>
        <w:rPr/>
        <w:t xml:space="preserve">The HERA Advisory Forum (‘Forum’) shall constitute a mechanism for an exchange of information on preparedness and response in the area of medical countermeasures and the pooling of knowledge. It shall ensure close cooperation between HERA and </w:t>
        <w:br/>
        <w:t xml:space="preserve">EN 5 EN </w:t>
        <w:br/>
        <w:t>the competent bodies in the Member States, in particular on the planning and implementation of scientific, health and industrial activities of HERA.</w:t>
      </w:r>
    </w:p>
    <w:p>
      <w:pPr>
        <w:pStyle w:val="TextBody"/>
        <w:bidi w:val="0"/>
        <w:spacing w:before="178" w:after="178"/>
        <w:ind w:left="178" w:right="178" w:hanging="0"/>
        <w:jc w:val="left"/>
        <w:rPr>
          <w:highlight w:val="lightGray"/>
        </w:rPr>
      </w:pPr>
      <w:r>
        <w:rPr>
          <w:highlight w:val="lightGray"/>
        </w:rPr>
        <w:t>Files\\Communication from the Commission - § 9 references coded [ 3.51% Coverage]</w:t>
      </w:r>
    </w:p>
    <w:p>
      <w:pPr>
        <w:pStyle w:val="TextBody"/>
        <w:bidi w:val="0"/>
        <w:spacing w:before="178" w:after="178"/>
        <w:ind w:left="178" w:right="178" w:hanging="0"/>
        <w:jc w:val="left"/>
        <w:rPr>
          <w:highlight w:val="lightGray"/>
        </w:rPr>
      </w:pPr>
      <w:r>
        <w:rPr>
          <w:highlight w:val="lightGray"/>
        </w:rPr>
        <w:t>Reference 1 - 0.25% Coverage</w:t>
      </w:r>
    </w:p>
    <w:p>
      <w:pPr>
        <w:pStyle w:val="TextBody"/>
        <w:bidi w:val="0"/>
        <w:spacing w:before="0" w:after="0"/>
        <w:jc w:val="left"/>
        <w:rPr/>
      </w:pPr>
      <w:r>
        <w:rPr/>
        <w:t>This Communication sets out a key step to make the EU better prepared and more able to respond, as a way to ensure that the EU and Member States can work together to bring a major step forward in the health security of citizens.</w:t>
      </w:r>
    </w:p>
    <w:p>
      <w:pPr>
        <w:pStyle w:val="TextBody"/>
        <w:bidi w:val="0"/>
        <w:spacing w:before="178" w:after="178"/>
        <w:ind w:left="178" w:right="178" w:hanging="0"/>
        <w:jc w:val="left"/>
        <w:rPr>
          <w:highlight w:val="lightGray"/>
        </w:rPr>
      </w:pPr>
      <w:r>
        <w:rPr>
          <w:highlight w:val="lightGray"/>
        </w:rPr>
        <w:t>Reference 2 - 0.24% Coverage</w:t>
      </w:r>
    </w:p>
    <w:p>
      <w:pPr>
        <w:pStyle w:val="TextBody"/>
        <w:bidi w:val="0"/>
        <w:spacing w:before="0" w:after="0"/>
        <w:jc w:val="left"/>
        <w:rPr/>
      </w:pPr>
      <w:r>
        <w:rPr/>
        <w:t>To strengthen health security coordination within the Union during preparedness and crisis response times, and bringing together the Member States, the industry and the relevant stakeholders in a common effort;</w:t>
      </w:r>
    </w:p>
    <w:p>
      <w:pPr>
        <w:pStyle w:val="TextBody"/>
        <w:bidi w:val="0"/>
        <w:spacing w:before="178" w:after="178"/>
        <w:ind w:left="178" w:right="178" w:hanging="0"/>
        <w:jc w:val="left"/>
        <w:rPr>
          <w:highlight w:val="lightGray"/>
        </w:rPr>
      </w:pPr>
      <w:r>
        <w:rPr>
          <w:highlight w:val="lightGray"/>
        </w:rPr>
        <w:t>Reference 3 - 0.26% Coverage</w:t>
      </w:r>
    </w:p>
    <w:p>
      <w:pPr>
        <w:pStyle w:val="TextBody"/>
        <w:bidi w:val="0"/>
        <w:spacing w:before="0" w:after="0"/>
        <w:jc w:val="left"/>
        <w:rPr/>
      </w:pPr>
      <w:r>
        <w:rPr/>
        <w:t>HERA should mean that the EU and Member States work together to analyse and define threats and strategic approaches, coordinating priorities so that the resources devoted to preparedness and response are as effective as possible.</w:t>
      </w:r>
    </w:p>
    <w:p>
      <w:pPr>
        <w:pStyle w:val="TextBody"/>
        <w:bidi w:val="0"/>
        <w:spacing w:before="178" w:after="178"/>
        <w:ind w:left="178" w:right="178" w:hanging="0"/>
        <w:jc w:val="left"/>
        <w:rPr>
          <w:highlight w:val="lightGray"/>
        </w:rPr>
      </w:pPr>
      <w:r>
        <w:rPr>
          <w:highlight w:val="lightGray"/>
        </w:rPr>
        <w:t>Reference 4 - 0.18% Coverage</w:t>
      </w:r>
    </w:p>
    <w:p>
      <w:pPr>
        <w:pStyle w:val="TextBody"/>
        <w:bidi w:val="0"/>
        <w:spacing w:before="0" w:after="0"/>
        <w:jc w:val="left"/>
        <w:rPr/>
      </w:pPr>
      <w:r>
        <w:rPr/>
        <w:t xml:space="preserve">In the </w:t>
        <w:br/>
        <w:t>“preparedness phase”, it will steer investments and actions in strengthening prevention, preparedness and readiness for new public health emergencies.</w:t>
      </w:r>
    </w:p>
    <w:p>
      <w:pPr>
        <w:pStyle w:val="TextBody"/>
        <w:bidi w:val="0"/>
        <w:spacing w:before="178" w:after="178"/>
        <w:ind w:left="178" w:right="178" w:hanging="0"/>
        <w:jc w:val="left"/>
        <w:rPr>
          <w:highlight w:val="lightGray"/>
        </w:rPr>
      </w:pPr>
      <w:r>
        <w:rPr>
          <w:highlight w:val="lightGray"/>
        </w:rPr>
        <w:t>Reference 5 - 0.32% Coverage</w:t>
      </w:r>
    </w:p>
    <w:p>
      <w:pPr>
        <w:pStyle w:val="TextBody"/>
        <w:bidi w:val="0"/>
        <w:spacing w:before="0" w:after="0"/>
        <w:jc w:val="left"/>
        <w:rPr/>
      </w:pPr>
      <w:r>
        <w:rPr/>
        <w:t>HERA will work closely with Member States to analyse, identify, and priorities possible health threats. This will be the basis for strategic coordination for the development of medical countermeasures, and the industrial capacity to produce and supply those countermeasures.</w:t>
      </w:r>
    </w:p>
    <w:p>
      <w:pPr>
        <w:pStyle w:val="TextBody"/>
        <w:bidi w:val="0"/>
        <w:spacing w:before="178" w:after="178"/>
        <w:ind w:left="178" w:right="178" w:hanging="0"/>
        <w:jc w:val="left"/>
        <w:rPr>
          <w:highlight w:val="lightGray"/>
        </w:rPr>
      </w:pPr>
      <w:r>
        <w:rPr>
          <w:highlight w:val="lightGray"/>
        </w:rPr>
        <w:t>Reference 6 - 0.27% Coverage</w:t>
      </w:r>
    </w:p>
    <w:p>
      <w:pPr>
        <w:pStyle w:val="TextBody"/>
        <w:bidi w:val="0"/>
        <w:spacing w:before="0" w:after="0"/>
        <w:jc w:val="left"/>
        <w:rPr/>
      </w:pPr>
      <w:r>
        <w:rPr/>
        <w:t>Build on the EU Pandemic Preparedness Partnership to pool fragmented pandemic preparedness research capacities across the EU and ensure shared responsibility and funding between the Commission, Member States and countries associated.</w:t>
      </w:r>
    </w:p>
    <w:p>
      <w:pPr>
        <w:pStyle w:val="TextBody"/>
        <w:bidi w:val="0"/>
        <w:spacing w:before="178" w:after="178"/>
        <w:ind w:left="178" w:right="178" w:hanging="0"/>
        <w:jc w:val="left"/>
        <w:rPr>
          <w:highlight w:val="lightGray"/>
        </w:rPr>
      </w:pPr>
      <w:r>
        <w:rPr>
          <w:highlight w:val="lightGray"/>
        </w:rPr>
        <w:t>Reference 7 - 1.17% Coverage</w:t>
      </w:r>
    </w:p>
    <w:p>
      <w:pPr>
        <w:pStyle w:val="TextBody"/>
        <w:bidi w:val="0"/>
        <w:spacing w:before="0" w:after="0"/>
        <w:jc w:val="left"/>
        <w:rPr/>
      </w:pPr>
      <w:r>
        <w:rPr/>
        <w:t xml:space="preserve">Objective: Improve Member States’ capacities in preparedness and response related to medical countermeasures </w:t>
        <w:br/>
        <w:t xml:space="preserve">HERA will draw on best practices and the expertise of Member States in particular to design and deliver training programmes to strengthen capacities across all Member States. It will look for synergies with training programmes planned under initiatives including the Pharmaceutical Strategy for Europe, the planned European Health Data Space and European Reference Networks. HERA will also assess the potential of the European Universities Alliances under ERASMUS+ Programme19 </w:t>
        <w:br/>
        <w:t xml:space="preserve">and the Pact for Skills20 to support training </w:t>
        <w:br/>
        <w:t>opportunities in the health security area. The training programmes will also assist public buyers in using the flexibility of the EU public procurement rules and help them to achieve supply chain security in the mid and longer term. It will also draw from the expertise of the European Agency for Safety and Health at Work (EU-OSHA) to design and deliver guidance specifically for work environments.</w:t>
      </w:r>
    </w:p>
    <w:p>
      <w:pPr>
        <w:pStyle w:val="TextBody"/>
        <w:bidi w:val="0"/>
        <w:spacing w:before="178" w:after="178"/>
        <w:ind w:left="178" w:right="178" w:hanging="0"/>
        <w:jc w:val="left"/>
        <w:rPr>
          <w:highlight w:val="lightGray"/>
        </w:rPr>
      </w:pPr>
      <w:r>
        <w:rPr>
          <w:highlight w:val="lightGray"/>
        </w:rPr>
        <w:t>Reference 8 - 0.59% Coverage</w:t>
      </w:r>
    </w:p>
    <w:p>
      <w:pPr>
        <w:pStyle w:val="TextBody"/>
        <w:bidi w:val="0"/>
        <w:spacing w:before="0" w:after="0"/>
        <w:jc w:val="left"/>
        <w:rPr/>
      </w:pPr>
      <w:r>
        <w:rPr/>
        <w:t>HERA’s task will be to ensure that the EU and Member States are much more ready to act in the face of a cross-border crisis. Preparedness means that when crisis comes, key medical countermeasures will have been developed and clear plans will be in place for their production and deployment; essential materials and components required for manufacturing will be available; operational steps will have been defined and made ready; and the monitoring tools will be in place to track a crisis and define the right policies in response.</w:t>
      </w:r>
    </w:p>
    <w:p>
      <w:pPr>
        <w:pStyle w:val="TextBody"/>
        <w:bidi w:val="0"/>
        <w:spacing w:before="178" w:after="178"/>
        <w:ind w:left="178" w:right="178" w:hanging="0"/>
        <w:jc w:val="left"/>
        <w:rPr>
          <w:highlight w:val="lightGray"/>
        </w:rPr>
      </w:pPr>
      <w:r>
        <w:rPr>
          <w:highlight w:val="lightGray"/>
        </w:rPr>
        <w:t>Reference 9 - 0.22% Coverage</w:t>
      </w:r>
    </w:p>
    <w:p>
      <w:pPr>
        <w:pStyle w:val="TextBody"/>
        <w:bidi w:val="0"/>
        <w:spacing w:before="0" w:after="0"/>
        <w:jc w:val="left"/>
        <w:rPr/>
      </w:pPr>
      <w:r>
        <w:rPr/>
        <w:t>At the same time, Member States are invited to make their preparedness and pandemic programmes fit by using the abovementioned programmes and instruments to build more resilient health systems.</w:t>
      </w:r>
    </w:p>
    <w:p>
      <w:pPr>
        <w:pStyle w:val="TextBody"/>
        <w:bidi w:val="0"/>
        <w:spacing w:before="178" w:after="178"/>
        <w:ind w:left="178" w:right="178" w:hanging="0"/>
        <w:jc w:val="left"/>
        <w:rPr>
          <w:highlight w:val="lightGray"/>
        </w:rPr>
      </w:pPr>
      <w:r>
        <w:rPr>
          <w:highlight w:val="lightGray"/>
        </w:rPr>
        <w:t>Files\\Communication from the Commission Annex - § 1 reference coded [ 1.76% Coverage]</w:t>
      </w:r>
    </w:p>
    <w:p>
      <w:pPr>
        <w:pStyle w:val="TextBody"/>
        <w:bidi w:val="0"/>
        <w:spacing w:before="178" w:after="178"/>
        <w:ind w:left="178" w:right="178" w:hanging="0"/>
        <w:jc w:val="left"/>
        <w:rPr>
          <w:highlight w:val="lightGray"/>
        </w:rPr>
      </w:pPr>
      <w:r>
        <w:rPr>
          <w:highlight w:val="lightGray"/>
        </w:rPr>
        <w:t>Reference 1 - 1.76% Coverage</w:t>
      </w:r>
    </w:p>
    <w:p>
      <w:pPr>
        <w:pStyle w:val="TextBody"/>
        <w:bidi w:val="0"/>
        <w:spacing w:before="0" w:after="0"/>
        <w:jc w:val="left"/>
        <w:rPr/>
      </w:pPr>
      <w:r>
        <w:rPr/>
        <w:t xml:space="preserve">• </w:t>
      </w:r>
      <w:r>
        <w:rPr/>
        <w:t xml:space="preserve">Pandemic preparedness and response planning with a focus on MCMs in close coordination with the pandemic preparedness research and innovation partnership </w:t>
        <w:br/>
        <w:t>• Annual State of Preparedness report</w:t>
      </w:r>
    </w:p>
    <w:p>
      <w:pPr>
        <w:pStyle w:val="TextBody"/>
        <w:bidi w:val="0"/>
        <w:spacing w:before="178" w:after="178"/>
        <w:ind w:left="178" w:right="178" w:hanging="0"/>
        <w:jc w:val="left"/>
        <w:rPr>
          <w:highlight w:val="lightGray"/>
        </w:rPr>
      </w:pPr>
      <w:r>
        <w:rPr>
          <w:highlight w:val="lightGray"/>
        </w:rPr>
        <w:t>Files\\Press Release - § 5 references coded [ 18.78% Coverage]</w:t>
      </w:r>
    </w:p>
    <w:p>
      <w:pPr>
        <w:pStyle w:val="TextBody"/>
        <w:bidi w:val="0"/>
        <w:spacing w:before="178" w:after="178"/>
        <w:ind w:left="178" w:right="178" w:hanging="0"/>
        <w:jc w:val="left"/>
        <w:rPr>
          <w:highlight w:val="lightGray"/>
        </w:rPr>
      </w:pPr>
      <w:r>
        <w:rPr>
          <w:highlight w:val="lightGray"/>
        </w:rPr>
        <w:t>Reference 1 - 1.93% Coverage</w:t>
      </w:r>
    </w:p>
    <w:p>
      <w:pPr>
        <w:pStyle w:val="TextBody"/>
        <w:bidi w:val="0"/>
        <w:spacing w:before="0" w:after="0"/>
        <w:jc w:val="left"/>
        <w:rPr/>
      </w:pPr>
      <w:r>
        <w:rPr/>
        <w:t>Today, the European Commission is launching the European Health Emergency preparedness and Response Authority (HERA) to prevent, detect, and rapidly respond to health emergencies. HERA will anticipate threats and potential health crises, through intelligence gathering and building the necessary response capacities.</w:t>
      </w:r>
    </w:p>
    <w:p>
      <w:pPr>
        <w:pStyle w:val="TextBody"/>
        <w:bidi w:val="0"/>
        <w:spacing w:before="178" w:after="178"/>
        <w:ind w:left="178" w:right="178" w:hanging="0"/>
        <w:jc w:val="left"/>
        <w:rPr>
          <w:highlight w:val="lightGray"/>
        </w:rPr>
      </w:pPr>
      <w:r>
        <w:rPr>
          <w:highlight w:val="lightGray"/>
        </w:rPr>
        <w:t>Reference 2 - 7.98% Coverage</w:t>
      </w:r>
    </w:p>
    <w:p>
      <w:pPr>
        <w:pStyle w:val="TextBody"/>
        <w:bidi w:val="0"/>
        <w:spacing w:before="0" w:after="0"/>
        <w:jc w:val="left"/>
        <w:rPr/>
      </w:pPr>
      <w:r>
        <w:rPr/>
        <w:t xml:space="preserve">Before crises: preparedness </w:t>
        <w:br/>
        <w:t xml:space="preserve">Before a health crisis, in the “preparedness phase”, HERA will work closely with other EU and national health agencies, industry and international partners to improve the EU’s readiness for health emergencies. </w:t>
        <w:br/>
        <w:t xml:space="preserve">HERA will carry out threat assessments and intelligence gathering, develop models to forecast an outbreak and, by early 2022, identify and act on at least three high impact threats and address possible gaps in medical countermeasures. </w:t>
        <w:br/>
        <w:t xml:space="preserve">HERA will also support research and innovation for the development for new medical countermeasures, including through Union-wide clinical trial networks and platforms for the rapid sharing of data. </w:t>
        <w:br/>
        <w:t xml:space="preserve">In addition, HERA will address market challenges and boost industrial capacity. Building on the work done by the Task Force for Industrial Scale up of COVID-19 vaccines, HERA will establish a close dialogue with industry, a long-term strategy for manufacturing capacity and targeted investment, and address supply chain bottlenecks for medical countermeasures. </w:t>
        <w:br/>
        <w:t xml:space="preserve">The authority will promote procurement and tackle challenges related to their availability and distribution and increase stockpiling capacity to avoid shortages and bottlenecks in logistics. </w:t>
        <w:br/>
        <w:t>HERA will also strengthen knowledge and skills on all aspects of medical countermeasures in Member States.</w:t>
      </w:r>
    </w:p>
    <w:p>
      <w:pPr>
        <w:pStyle w:val="TextBody"/>
        <w:bidi w:val="0"/>
        <w:spacing w:before="178" w:after="178"/>
        <w:ind w:left="178" w:right="178" w:hanging="0"/>
        <w:jc w:val="left"/>
        <w:rPr>
          <w:highlight w:val="lightGray"/>
        </w:rPr>
      </w:pPr>
      <w:r>
        <w:rPr>
          <w:highlight w:val="lightGray"/>
        </w:rPr>
        <w:t>Reference 3 - 2.51% Coverage</w:t>
      </w:r>
    </w:p>
    <w:p>
      <w:pPr>
        <w:pStyle w:val="TextBody"/>
        <w:bidi w:val="0"/>
        <w:spacing w:before="0" w:after="0"/>
        <w:jc w:val="left"/>
        <w:rPr/>
      </w:pPr>
      <w:r>
        <w:rPr/>
        <w:t>President of the European Commission, Ursula von der Leyen, stated: “HERA is another building block of a stronger Health Union and a major step forward for our crisis preparedness. With HERA, we will make sure we have the medical equipment we need to protect our citizens from future health threats. HERA will be able to make swift decisions to safeguard supplies. This is what I promised back in 2020, and this is what we deliver.”</w:t>
      </w:r>
    </w:p>
    <w:p>
      <w:pPr>
        <w:pStyle w:val="TextBody"/>
        <w:bidi w:val="0"/>
        <w:spacing w:before="178" w:after="178"/>
        <w:ind w:left="178" w:right="178" w:hanging="0"/>
        <w:jc w:val="left"/>
        <w:rPr>
          <w:highlight w:val="lightGray"/>
        </w:rPr>
      </w:pPr>
      <w:r>
        <w:rPr>
          <w:highlight w:val="lightGray"/>
        </w:rPr>
        <w:t>Reference 4 - 3.57% Coverage</w:t>
      </w:r>
    </w:p>
    <w:p>
      <w:pPr>
        <w:pStyle w:val="TextBody"/>
        <w:bidi w:val="0"/>
        <w:spacing w:before="0" w:after="0"/>
        <w:jc w:val="left"/>
        <w:rPr/>
      </w:pPr>
      <w:r>
        <w:rPr/>
        <w:t>Vice-President for Promoting the European Way of Life, Margaritis Schinas, said: “HERA has a clear mission: ensuring the availability, access and distribution of medical countermeasures in the Union. HERA is the EU’s response for both anticipating and managing emergencies. HERA will have the clout and budget to work with industry, medical experts, researchers and our global partners to make sure critical equipment, medicines and vaccines are swiftly available when and as necessary. We now know: To fight the COVID-19 pandemic and future health emergencies, cooperation is the only way forward.”</w:t>
      </w:r>
    </w:p>
    <w:p>
      <w:pPr>
        <w:pStyle w:val="TextBody"/>
        <w:bidi w:val="0"/>
        <w:spacing w:before="178" w:after="178"/>
        <w:ind w:left="178" w:right="178" w:hanging="0"/>
        <w:jc w:val="left"/>
        <w:rPr>
          <w:highlight w:val="lightGray"/>
        </w:rPr>
      </w:pPr>
      <w:r>
        <w:rPr>
          <w:highlight w:val="lightGray"/>
        </w:rPr>
        <w:t>Reference 5 - 2.78% Coverage</w:t>
      </w:r>
    </w:p>
    <w:p>
      <w:pPr>
        <w:pStyle w:val="TextBody"/>
        <w:bidi w:val="0"/>
        <w:spacing w:before="0" w:after="0"/>
        <w:jc w:val="left"/>
        <w:rPr/>
      </w:pPr>
      <w:r>
        <w:rPr/>
        <w:t>Mariya Gabriel, Commissioner for Innovation, Research, Culture, Education and Youth, said: “Medical counter-measures are key to combat health threats. The Commission has been at the forefront of tackling the pandemic but more must be done to ensure that we are better prepared for the next crisis. Research and innovation will be a central piece in HERA, as the new authority sets out to promote and support the development of medical technologies and their production.”</w:t>
      </w:r>
    </w:p>
    <w:p>
      <w:pPr>
        <w:pStyle w:val="TextBody"/>
        <w:bidi w:val="0"/>
        <w:spacing w:before="178" w:after="178"/>
        <w:ind w:left="178" w:right="178" w:hanging="0"/>
        <w:jc w:val="left"/>
        <w:rPr>
          <w:highlight w:val="lightGray"/>
        </w:rPr>
      </w:pPr>
      <w:r>
        <w:rPr>
          <w:highlight w:val="lightGray"/>
        </w:rPr>
        <w:t>Files\\Proposal for a Council Regulation - § 2 references coded [ 0.24% Coverage]</w:t>
      </w:r>
    </w:p>
    <w:p>
      <w:pPr>
        <w:pStyle w:val="TextBody"/>
        <w:bidi w:val="0"/>
        <w:spacing w:before="178" w:after="178"/>
        <w:ind w:left="178" w:right="178" w:hanging="0"/>
        <w:jc w:val="left"/>
        <w:rPr>
          <w:highlight w:val="lightGray"/>
        </w:rPr>
      </w:pPr>
      <w:r>
        <w:rPr>
          <w:highlight w:val="lightGray"/>
        </w:rPr>
        <w:t>Reference 1 - 0.08% Coverage</w:t>
      </w:r>
    </w:p>
    <w:p>
      <w:pPr>
        <w:pStyle w:val="TextBody"/>
        <w:bidi w:val="0"/>
        <w:spacing w:before="0" w:after="0"/>
        <w:jc w:val="left"/>
        <w:rPr/>
      </w:pPr>
      <w:r>
        <w:rPr/>
        <w:t>Improved preparedness and response planning for serious cross-border threats to health in the area of medical countermeasures at the national and EU level.</w:t>
      </w:r>
    </w:p>
    <w:p>
      <w:pPr>
        <w:pStyle w:val="TextBody"/>
        <w:bidi w:val="0"/>
        <w:spacing w:before="178" w:after="178"/>
        <w:ind w:left="178" w:right="178" w:hanging="0"/>
        <w:jc w:val="left"/>
        <w:rPr>
          <w:highlight w:val="lightGray"/>
        </w:rPr>
      </w:pPr>
      <w:r>
        <w:rPr>
          <w:highlight w:val="lightGray"/>
        </w:rPr>
        <w:t>Reference 2 - 0.16% Coverage</w:t>
      </w:r>
    </w:p>
    <w:p>
      <w:pPr>
        <w:pStyle w:val="TextBody"/>
        <w:bidi w:val="0"/>
        <w:spacing w:before="0" w:after="0"/>
        <w:jc w:val="left"/>
        <w:rPr/>
      </w:pPr>
      <w:r>
        <w:rPr/>
        <w:t>The European Health Emergency Preparedness and Response Authority (HERA) is a central element for strengthening the European Health Union with better EU preparedness and response to serious cross-border health threats, by enabling rapid availability, access and distribution of needed countermeasures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