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Files\\Proposal for a Council Regulation - § 2 references coded [ 0.25% Coverage]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Reference 1 - 0.12% Coverage</w:t>
      </w:r>
    </w:p>
    <w:p>
      <w:pPr>
        <w:pStyle w:val="TextBody"/>
        <w:bidi w:val="0"/>
        <w:spacing w:before="0" w:after="0"/>
        <w:jc w:val="left"/>
        <w:rPr/>
      </w:pPr>
      <w:r>
        <w:rPr/>
        <w:t>This situation is likely to be replicated: probably no single country can adequately address all the challenges associated with public health emergencies that have the ability to affect one or more Member States, such as COVID-19.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Reference 2 - 0.13% Coverage</w:t>
      </w:r>
    </w:p>
    <w:p>
      <w:pPr>
        <w:pStyle w:val="TextBody"/>
        <w:bidi w:val="0"/>
        <w:spacing w:before="0" w:after="0"/>
        <w:jc w:val="left"/>
        <w:rPr/>
      </w:pPr>
      <w:r>
        <w:rPr/>
        <w:t>Where appropriate to the economic situation, a coordinated response at Union-level to ensure the availability and accessibility of crisis-relevant medical countermeasures can help avoiding uncoordinated investments across Member States.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Songti SC" w:cs="Arial Unicode MS"/>
      <w:color w:val="auto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LibreOffice/6.4.7.2$MacOSX_X86_64 LibreOffice_project/639b8ac485750d5696d7590a72ef1b496725cfb5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cp:revision>0</cp:revision>
  <dc:subject/>
  <dc:title/>
</cp:coreProperties>
</file>